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64" w:rsidRPr="003E3F13" w:rsidRDefault="00B1702A" w:rsidP="003842E5">
      <w:pPr>
        <w:spacing w:line="360" w:lineRule="auto"/>
        <w:jc w:val="center"/>
        <w:rPr>
          <w:rFonts w:ascii="Sitka Banner" w:hAnsi="Sitka Banner"/>
          <w:b/>
          <w:sz w:val="40"/>
          <w:szCs w:val="40"/>
          <w:u w:val="single"/>
        </w:rPr>
      </w:pPr>
      <w:r w:rsidRPr="003E3F13">
        <w:rPr>
          <w:rFonts w:ascii="Sitka Banner" w:hAnsi="Sitka Banner"/>
          <w:b/>
          <w:sz w:val="40"/>
          <w:szCs w:val="40"/>
          <w:u w:val="single"/>
        </w:rPr>
        <w:t xml:space="preserve">ANOSR se opune ferm propunerilor </w:t>
      </w:r>
      <w:r w:rsidRPr="003E3F13">
        <w:rPr>
          <w:rFonts w:ascii="Sitka Banner" w:hAnsi="Sitka Banner"/>
          <w:b/>
          <w:sz w:val="40"/>
          <w:szCs w:val="40"/>
          <w:u w:val="single"/>
        </w:rPr>
        <w:br/>
        <w:t>care încurajează plagiatul</w:t>
      </w:r>
    </w:p>
    <w:p w:rsidR="003842E5" w:rsidRDefault="00523A64" w:rsidP="003842E5">
      <w:pPr>
        <w:spacing w:line="360" w:lineRule="auto"/>
        <w:jc w:val="both"/>
        <w:rPr>
          <w:rFonts w:cs="Segoe UI"/>
        </w:rPr>
      </w:pPr>
      <w:r>
        <w:rPr>
          <w:rFonts w:cs="Segoe UI"/>
        </w:rPr>
        <w:tab/>
      </w:r>
    </w:p>
    <w:p w:rsidR="00EB3E17" w:rsidRDefault="00523A64" w:rsidP="004E5532">
      <w:pPr>
        <w:spacing w:line="360" w:lineRule="auto"/>
        <w:ind w:firstLine="720"/>
        <w:jc w:val="both"/>
        <w:rPr>
          <w:rFonts w:cs="Segoe UI"/>
        </w:rPr>
      </w:pPr>
      <w:r>
        <w:rPr>
          <w:rFonts w:cs="Segoe UI"/>
          <w:b/>
        </w:rPr>
        <w:t xml:space="preserve">Alianța Națională </w:t>
      </w:r>
      <w:bookmarkStart w:id="0" w:name="_GoBack"/>
      <w:bookmarkEnd w:id="0"/>
      <w:r>
        <w:rPr>
          <w:rFonts w:cs="Segoe UI"/>
          <w:b/>
        </w:rPr>
        <w:t xml:space="preserve">a Organizațiilor Studențești din România (ANOSR) </w:t>
      </w:r>
      <w:r w:rsidR="008A6D92">
        <w:rPr>
          <w:rFonts w:cs="Segoe UI"/>
        </w:rPr>
        <w:t>se arată profund îngrijorată de propunerea venită din partea Consil</w:t>
      </w:r>
      <w:r w:rsidR="004E5532">
        <w:rPr>
          <w:rFonts w:cs="Segoe UI"/>
        </w:rPr>
        <w:t xml:space="preserve">iului Național de Atestare a Titlurilor, Diplomelor și Certificatelor Universitare (CNATDCU), care </w:t>
      </w:r>
      <w:r w:rsidR="00941625">
        <w:rPr>
          <w:rFonts w:cs="Segoe UI"/>
        </w:rPr>
        <w:t>presupune</w:t>
      </w:r>
      <w:r w:rsidR="004E5532">
        <w:rPr>
          <w:rFonts w:cs="Segoe UI"/>
        </w:rPr>
        <w:t xml:space="preserve"> prescrierea acuzațiilor de plagiat ale tezelor de doctorat mai vechi de un anumit număr de ani.</w:t>
      </w:r>
    </w:p>
    <w:p w:rsidR="004E5532" w:rsidRPr="00941625" w:rsidRDefault="00941625" w:rsidP="00941625">
      <w:pPr>
        <w:spacing w:line="360" w:lineRule="auto"/>
        <w:ind w:firstLine="720"/>
        <w:jc w:val="both"/>
        <w:rPr>
          <w:rFonts w:cs="Segoe UI"/>
        </w:rPr>
      </w:pPr>
      <w:r>
        <w:rPr>
          <w:rFonts w:cs="Segoe UI"/>
        </w:rPr>
        <w:t>Într-o perioadă în care conceptul de amnistie este mult prea des utilizat în spațiul public, din păcate</w:t>
      </w:r>
      <w:r w:rsidR="00B1702A">
        <w:rPr>
          <w:rFonts w:cs="Segoe UI"/>
        </w:rPr>
        <w:t>, nici în</w:t>
      </w:r>
      <w:r>
        <w:rPr>
          <w:rFonts w:cs="Segoe UI"/>
        </w:rPr>
        <w:t xml:space="preserve"> mediul academic nu </w:t>
      </w:r>
      <w:r w:rsidR="00B1702A">
        <w:rPr>
          <w:rFonts w:cs="Segoe UI"/>
        </w:rPr>
        <w:t xml:space="preserve">se </w:t>
      </w:r>
      <w:r>
        <w:rPr>
          <w:rFonts w:cs="Segoe UI"/>
        </w:rPr>
        <w:t xml:space="preserve">face excepție. În primul rând, </w:t>
      </w:r>
      <w:r w:rsidR="00B1702A">
        <w:rPr>
          <w:rFonts w:cs="Segoe UI"/>
        </w:rPr>
        <w:t xml:space="preserve">o </w:t>
      </w:r>
      <w:r w:rsidR="004E5532">
        <w:rPr>
          <w:rFonts w:cs="Segoe UI"/>
        </w:rPr>
        <w:t>posibilă amnistie ar da un mesaj extrem de îngrijorător și anume, periodic, dacă un anumit grup de persoane care sunt susceptibile a fi plagiat, respectiv a</w:t>
      </w:r>
      <w:r w:rsidR="003E3F13">
        <w:rPr>
          <w:rFonts w:cs="Segoe UI"/>
        </w:rPr>
        <w:t>l</w:t>
      </w:r>
      <w:r w:rsidR="004E5532">
        <w:rPr>
          <w:rFonts w:cs="Segoe UI"/>
        </w:rPr>
        <w:t xml:space="preserve"> căror plagiat a fost dovedit, ajung într-o poziție în care pot influența politic o astfel de decizie, aceasta are toate șansele să fie luată. </w:t>
      </w:r>
      <w:r w:rsidR="00E33D98">
        <w:rPr>
          <w:rFonts w:cs="Segoe UI"/>
        </w:rPr>
        <w:t>Mai mult, legislația în vigoare prevede sancționarea impostorilor academici, atât de către organele de stat cu competențe în acest domeniu, cât și de către universități</w:t>
      </w:r>
      <w:r w:rsidR="00E33D98">
        <w:rPr>
          <w:rStyle w:val="FootnoteReference"/>
          <w:rFonts w:cs="Segoe UI"/>
        </w:rPr>
        <w:footnoteReference w:id="2"/>
      </w:r>
      <w:r w:rsidR="009A60D0">
        <w:rPr>
          <w:rFonts w:cs="Segoe UI"/>
        </w:rPr>
        <w:t>.</w:t>
      </w:r>
      <w:r w:rsidR="00304155">
        <w:rPr>
          <w:rFonts w:cs="Segoe UI"/>
        </w:rPr>
        <w:t xml:space="preserve"> Prin urmare, argumentele care se bazează pe inexistența unei baze legale în ceea ce privește plagiatul sunt total nefondate. Chiar și în cazul în care această sancționare a plagiatorilor dovediți este una strict morală, situație des întâlnită, </w:t>
      </w:r>
      <w:r w:rsidR="003E3F13">
        <w:rPr>
          <w:rFonts w:cs="Segoe UI"/>
        </w:rPr>
        <w:t>ea</w:t>
      </w:r>
      <w:r w:rsidR="00304155">
        <w:rPr>
          <w:rFonts w:cs="Segoe UI"/>
        </w:rPr>
        <w:t xml:space="preserve"> este totuși necesară pentru a combate acest flagel al imposturii și pentru a </w:t>
      </w:r>
      <w:r w:rsidR="00304155">
        <w:rPr>
          <w:rFonts w:cs="Segoe UI"/>
          <w:b/>
        </w:rPr>
        <w:t>descuraja inițierea acestor practici.</w:t>
      </w:r>
    </w:p>
    <w:p w:rsidR="004A4909" w:rsidRDefault="00304155" w:rsidP="00304155">
      <w:pPr>
        <w:spacing w:line="360" w:lineRule="auto"/>
        <w:ind w:firstLine="720"/>
        <w:jc w:val="both"/>
        <w:rPr>
          <w:rFonts w:cs="Segoe UI"/>
        </w:rPr>
      </w:pPr>
      <w:r>
        <w:rPr>
          <w:rFonts w:cs="Segoe UI"/>
        </w:rPr>
        <w:t>Considerăm că întreaga dilemă în jurul citării este una falsă, întrucât există diferite stiluri de citare general acceptate, menținându-se obligativitatea menționării surselor unei lucrări științifice – un element fundamental în elaborarea acesteia. De asemenea, principiul autonomiei universitare încurajează libertatea alegerii modalității de citare de către fiecare instituție organizatoare de studii universitare de doctorat</w:t>
      </w:r>
      <w:r>
        <w:rPr>
          <w:rStyle w:val="FootnoteReference"/>
          <w:rFonts w:cs="Segoe UI"/>
        </w:rPr>
        <w:footnoteReference w:id="3"/>
      </w:r>
      <w:r>
        <w:rPr>
          <w:rFonts w:cs="Segoe UI"/>
        </w:rPr>
        <w:t xml:space="preserve">, iar cercetările desfășurate de organismele cu competențe în stabilirea plagiatului se bazează pe respectarea principiilor </w:t>
      </w:r>
      <w:r>
        <w:rPr>
          <w:rFonts w:cs="Segoe UI"/>
        </w:rPr>
        <w:lastRenderedPageBreak/>
        <w:t xml:space="preserve">generale enunțate de către legiuitor </w:t>
      </w:r>
      <w:r w:rsidR="00792DE7">
        <w:rPr>
          <w:rFonts w:cs="Segoe UI"/>
        </w:rPr>
        <w:t>și a principiilor specifice fiecărei IOSUD în parte, enunțate în regulamentele interne și respectiv Carta universitară. Responsabilitatea primară cu privire la garantarea originalității lucrărilor științifice și a altor tipuri de creații este atât a autorului, cât și a îndrumătorului și respectiv a instituției de învățământ superior de proveniență.</w:t>
      </w:r>
      <w:r w:rsidR="00792DE7">
        <w:rPr>
          <w:rStyle w:val="FootnoteReference"/>
          <w:rFonts w:cs="Segoe UI"/>
        </w:rPr>
        <w:footnoteReference w:id="4"/>
      </w:r>
    </w:p>
    <w:p w:rsidR="00792DE7" w:rsidRPr="00792DE7" w:rsidRDefault="00792DE7" w:rsidP="00304155">
      <w:pPr>
        <w:spacing w:line="360" w:lineRule="auto"/>
        <w:ind w:firstLine="720"/>
        <w:jc w:val="both"/>
        <w:rPr>
          <w:rFonts w:cs="Segoe UI"/>
          <w:b/>
        </w:rPr>
      </w:pPr>
      <w:r>
        <w:rPr>
          <w:rFonts w:cs="Segoe UI"/>
        </w:rPr>
        <w:t xml:space="preserve">Indubitabil, o astfel de </w:t>
      </w:r>
      <w:r w:rsidR="00941625">
        <w:rPr>
          <w:rFonts w:cs="Segoe UI"/>
        </w:rPr>
        <w:t xml:space="preserve">măsură </w:t>
      </w:r>
      <w:r>
        <w:rPr>
          <w:rFonts w:cs="Segoe UI"/>
        </w:rPr>
        <w:t xml:space="preserve">ar reprezenta </w:t>
      </w:r>
      <w:r>
        <w:rPr>
          <w:rFonts w:cs="Segoe UI"/>
          <w:b/>
        </w:rPr>
        <w:t xml:space="preserve">un pas înapoi extrem de hotărât, </w:t>
      </w:r>
      <w:r>
        <w:rPr>
          <w:rFonts w:cs="Segoe UI"/>
        </w:rPr>
        <w:t xml:space="preserve">arătând că mediul academic românesc, prin reprezentanții </w:t>
      </w:r>
      <w:r w:rsidR="003E3F13">
        <w:rPr>
          <w:rFonts w:cs="Segoe UI"/>
        </w:rPr>
        <w:t>săi</w:t>
      </w:r>
      <w:r>
        <w:rPr>
          <w:rFonts w:cs="Segoe UI"/>
        </w:rPr>
        <w:t xml:space="preserve">, respectiv Ministerul Educației Naționale și structurile din subordinea acestuia, </w:t>
      </w:r>
      <w:r>
        <w:rPr>
          <w:rFonts w:cs="Segoe UI"/>
          <w:b/>
        </w:rPr>
        <w:t>nu doresc</w:t>
      </w:r>
      <w:r w:rsidR="00941625">
        <w:rPr>
          <w:rFonts w:cs="Segoe UI"/>
          <w:b/>
        </w:rPr>
        <w:t xml:space="preserve"> în mod real</w:t>
      </w:r>
      <w:r>
        <w:rPr>
          <w:rFonts w:cs="Segoe UI"/>
          <w:b/>
        </w:rPr>
        <w:t xml:space="preserve"> combaterea fenomenului de plagiat și a imposturii academice, disimulând lupa împotriva acestora.</w:t>
      </w:r>
    </w:p>
    <w:p w:rsidR="002C745C" w:rsidRDefault="00792DE7" w:rsidP="00E34E90">
      <w:pPr>
        <w:spacing w:line="360" w:lineRule="auto"/>
        <w:ind w:firstLine="720"/>
        <w:jc w:val="both"/>
        <w:rPr>
          <w:rFonts w:cs="Segoe UI"/>
          <w:color w:val="auto"/>
        </w:rPr>
      </w:pPr>
      <w:r>
        <w:rPr>
          <w:rFonts w:cs="Segoe UI"/>
        </w:rPr>
        <w:t>Amintim faptul că, în prezent, a</w:t>
      </w:r>
      <w:r w:rsidR="00A767A3">
        <w:rPr>
          <w:rFonts w:cs="Segoe UI"/>
        </w:rPr>
        <w:t xml:space="preserve">nexa Hotărârii Guvernului nr. 681/ 2011 privind </w:t>
      </w:r>
      <w:r w:rsidR="00E33D98">
        <w:rPr>
          <w:rFonts w:cs="Segoe UI"/>
        </w:rPr>
        <w:t>codul studiilor universitare de doctorat</w:t>
      </w:r>
      <w:r w:rsidR="00092243">
        <w:rPr>
          <w:rFonts w:cs="Segoe UI"/>
        </w:rPr>
        <w:t>, a</w:t>
      </w:r>
      <w:r w:rsidR="00E33D98" w:rsidRPr="00092243">
        <w:rPr>
          <w:rFonts w:cs="Segoe UI"/>
        </w:rPr>
        <w:t xml:space="preserve">rt. (50) </w:t>
      </w:r>
      <w:r>
        <w:rPr>
          <w:rFonts w:cs="Segoe UI"/>
        </w:rPr>
        <w:t>prevede următoarele:</w:t>
      </w:r>
      <w:r w:rsidR="003E3F13">
        <w:rPr>
          <w:rFonts w:cs="Segoe UI"/>
        </w:rPr>
        <w:t xml:space="preserve"> </w:t>
      </w:r>
      <w:r w:rsidR="00E33D98" w:rsidRPr="00092243">
        <w:rPr>
          <w:rFonts w:cs="Segoe UI"/>
          <w:i/>
        </w:rPr>
        <w:t>„Orice persoană fizică sau juridică, inclusiv membrii CNATDCU sau IOSUD, poate sesiza în scris, prin intermediul UEFISCDI, Consiliul general al CNATDCU</w:t>
      </w:r>
      <w:r w:rsidR="003E3F13">
        <w:rPr>
          <w:rFonts w:cs="Segoe UI"/>
          <w:i/>
        </w:rPr>
        <w:t>,</w:t>
      </w:r>
      <w:r w:rsidR="00E33D98" w:rsidRPr="00092243">
        <w:rPr>
          <w:rFonts w:cs="Segoe UI"/>
          <w:i/>
        </w:rPr>
        <w:t xml:space="preserve"> cu privire la nerespectarea standardelor de calitate sau de etică profesională, </w:t>
      </w:r>
      <w:r w:rsidR="00E33D98" w:rsidRPr="00092243">
        <w:rPr>
          <w:rFonts w:cs="Segoe UI"/>
          <w:b/>
          <w:i/>
        </w:rPr>
        <w:t xml:space="preserve">inclusiv cu </w:t>
      </w:r>
      <w:r w:rsidR="003E3F13">
        <w:rPr>
          <w:rFonts w:cs="Segoe UI"/>
          <w:b/>
          <w:i/>
        </w:rPr>
        <w:t>privire la existența plagiatului</w:t>
      </w:r>
      <w:r w:rsidR="00E33D98" w:rsidRPr="00092243">
        <w:rPr>
          <w:rFonts w:cs="Segoe UI"/>
          <w:b/>
          <w:i/>
        </w:rPr>
        <w:t xml:space="preserve"> în cadrul unei teze de doctorat, indiferent de data susținerii acesteia și de data acordării titlului de doctor”</w:t>
      </w:r>
      <w:r w:rsidR="003E3F13">
        <w:rPr>
          <w:rFonts w:cs="Segoe UI"/>
          <w:b/>
          <w:i/>
        </w:rPr>
        <w:t xml:space="preserve"> </w:t>
      </w:r>
      <w:r>
        <w:rPr>
          <w:rFonts w:cs="Segoe UI"/>
        </w:rPr>
        <w:t xml:space="preserve">și </w:t>
      </w:r>
      <w:r w:rsidR="003E3F13">
        <w:rPr>
          <w:rFonts w:cs="Segoe UI"/>
          <w:b/>
          <w:color w:val="FF0000"/>
        </w:rPr>
        <w:t>facem apel la responsabilitate</w:t>
      </w:r>
      <w:r w:rsidR="004E6D52">
        <w:rPr>
          <w:rFonts w:cs="Segoe UI"/>
          <w:b/>
          <w:color w:val="FF0000"/>
        </w:rPr>
        <w:t xml:space="preserve"> către </w:t>
      </w:r>
      <w:r w:rsidR="003E3F13">
        <w:rPr>
          <w:rFonts w:cs="Segoe UI"/>
          <w:b/>
          <w:color w:val="FF0000"/>
        </w:rPr>
        <w:t>Ministerul</w:t>
      </w:r>
      <w:r>
        <w:rPr>
          <w:rFonts w:cs="Segoe UI"/>
          <w:b/>
          <w:color w:val="FF0000"/>
        </w:rPr>
        <w:t xml:space="preserve"> Educației Naționale</w:t>
      </w:r>
      <w:r w:rsidR="004E6D52">
        <w:rPr>
          <w:rFonts w:cs="Segoe UI"/>
          <w:b/>
          <w:color w:val="FF0000"/>
        </w:rPr>
        <w:t>, solicitându-le continuarea</w:t>
      </w:r>
      <w:r>
        <w:rPr>
          <w:rFonts w:cs="Segoe UI"/>
          <w:b/>
          <w:color w:val="FF0000"/>
        </w:rPr>
        <w:t xml:space="preserve"> lupt</w:t>
      </w:r>
      <w:r w:rsidR="004E6D52">
        <w:rPr>
          <w:rFonts w:cs="Segoe UI"/>
          <w:b/>
          <w:color w:val="FF0000"/>
        </w:rPr>
        <w:t>ei</w:t>
      </w:r>
      <w:r>
        <w:rPr>
          <w:rFonts w:cs="Segoe UI"/>
          <w:b/>
          <w:color w:val="FF0000"/>
        </w:rPr>
        <w:t xml:space="preserve"> împotriva imposturii academice, </w:t>
      </w:r>
      <w:r>
        <w:rPr>
          <w:rFonts w:cs="Segoe UI"/>
          <w:color w:val="auto"/>
        </w:rPr>
        <w:t>luptă pe care o considerăm necesară mediul</w:t>
      </w:r>
      <w:r w:rsidR="003E3F13">
        <w:rPr>
          <w:rFonts w:cs="Segoe UI"/>
          <w:color w:val="auto"/>
        </w:rPr>
        <w:t>ui</w:t>
      </w:r>
      <w:r>
        <w:rPr>
          <w:rFonts w:cs="Segoe UI"/>
          <w:color w:val="auto"/>
        </w:rPr>
        <w:t xml:space="preserve"> academic.</w:t>
      </w:r>
    </w:p>
    <w:p w:rsidR="00E34E90" w:rsidRPr="009F4A59" w:rsidRDefault="00C3481D" w:rsidP="00E34E90">
      <w:pPr>
        <w:spacing w:line="360" w:lineRule="auto"/>
        <w:ind w:firstLine="720"/>
        <w:jc w:val="both"/>
        <w:rPr>
          <w:rFonts w:cs="Segoe UI"/>
          <w:color w:val="auto"/>
        </w:rPr>
      </w:pPr>
      <w:r>
        <w:rPr>
          <w:rFonts w:cs="Segoe UI"/>
          <w:color w:val="auto"/>
        </w:rPr>
        <w:t xml:space="preserve">De-a lungul timpului, </w:t>
      </w:r>
      <w:r>
        <w:rPr>
          <w:rFonts w:cs="Segoe UI"/>
          <w:b/>
          <w:color w:val="auto"/>
        </w:rPr>
        <w:t>Alianța Națională a Organizațiilor Studențești din Rom</w:t>
      </w:r>
      <w:r w:rsidR="009F4A59">
        <w:rPr>
          <w:rFonts w:cs="Segoe UI"/>
          <w:b/>
          <w:color w:val="auto"/>
        </w:rPr>
        <w:t xml:space="preserve">ânia (ANOSR) </w:t>
      </w:r>
      <w:r w:rsidR="009F4A59">
        <w:rPr>
          <w:rFonts w:cs="Segoe UI"/>
          <w:color w:val="auto"/>
        </w:rPr>
        <w:t>a atras atenția asupra fenomenelor de plagiat tot mai des întâlnite în sfera academică și respectiv asupra cauzelor ce conduc la acestea – lipsa unei culturi a respectării proprietății intelectuale, lipsa unei educații adecvate în ceea ce privește modul de redactare a lucrărilor științifice și, nu în ultimul rând, slaba conștientizare a elevilor și studenților din România cu privire la repercursiunile ce pot să apară atunci când apelează la asemenea practici.</w:t>
      </w:r>
      <w:r w:rsidR="00E34E90">
        <w:rPr>
          <w:rStyle w:val="FootnoteReference"/>
          <w:rFonts w:cs="Segoe UI"/>
          <w:color w:val="auto"/>
        </w:rPr>
        <w:footnoteReference w:id="5"/>
      </w:r>
      <w:r w:rsidR="00E34E90">
        <w:rPr>
          <w:rFonts w:cs="Segoe UI"/>
          <w:color w:val="auto"/>
        </w:rPr>
        <w:t xml:space="preserve"> Chiar dacă la începutul acestui an au fost luate o serie de măsuri pentru prevenirea derapajelor de la etica și deontologia universitară, cum ar fi introducerea în mod obligatoriu </w:t>
      </w:r>
      <w:r w:rsidR="00E34E90">
        <w:rPr>
          <w:rFonts w:cs="Segoe UI"/>
          <w:color w:val="auto"/>
        </w:rPr>
        <w:lastRenderedPageBreak/>
        <w:t xml:space="preserve">a cursurilor în acest sens </w:t>
      </w:r>
      <w:r w:rsidR="00B25A3F">
        <w:rPr>
          <w:rFonts w:cs="Segoe UI"/>
          <w:color w:val="auto"/>
        </w:rPr>
        <w:t>pentru studenții masteranzi și doctoranzi</w:t>
      </w:r>
      <w:r w:rsidR="00B25A3F">
        <w:rPr>
          <w:rStyle w:val="FootnoteReference"/>
          <w:rFonts w:cs="Segoe UI"/>
          <w:color w:val="auto"/>
        </w:rPr>
        <w:footnoteReference w:id="6"/>
      </w:r>
      <w:r w:rsidR="00B25A3F">
        <w:rPr>
          <w:rFonts w:cs="Segoe UI"/>
          <w:color w:val="auto"/>
        </w:rPr>
        <w:t>, ANOSR atrage atenția asupra faptului că acestea încă nu au început să producă efecte vizibile în ceea ce privește reducerea fenomenului de plagiat</w:t>
      </w:r>
      <w:r w:rsidR="00287BEC">
        <w:rPr>
          <w:rFonts w:cs="Segoe UI"/>
          <w:color w:val="auto"/>
        </w:rPr>
        <w:t>.</w:t>
      </w:r>
      <w:r w:rsidR="00D012D9">
        <w:rPr>
          <w:rFonts w:cs="Segoe UI"/>
          <w:color w:val="auto"/>
        </w:rPr>
        <w:t xml:space="preserve"> </w:t>
      </w:r>
      <w:r w:rsidR="00287BEC">
        <w:rPr>
          <w:rFonts w:cs="Segoe UI"/>
          <w:color w:val="auto"/>
        </w:rPr>
        <w:t>P</w:t>
      </w:r>
      <w:r w:rsidR="00B25A3F">
        <w:rPr>
          <w:rFonts w:cs="Segoe UI"/>
          <w:color w:val="auto"/>
        </w:rPr>
        <w:t>rin urmare</w:t>
      </w:r>
      <w:r w:rsidR="00287BEC">
        <w:rPr>
          <w:rFonts w:cs="Segoe UI"/>
          <w:color w:val="auto"/>
        </w:rPr>
        <w:t>,</w:t>
      </w:r>
      <w:r w:rsidR="00B25A3F">
        <w:rPr>
          <w:rFonts w:cs="Segoe UI"/>
          <w:color w:val="auto"/>
        </w:rPr>
        <w:t xml:space="preserve"> solicităm din partea organismelor responsabile de vegherea asupra respectării normelor de etică și deontologie universitară responsabilitate și vigilență atunci când vorbim despre plagiat.</w:t>
      </w:r>
    </w:p>
    <w:p w:rsidR="00AC3FA1" w:rsidRDefault="00792DE7" w:rsidP="00092243">
      <w:pPr>
        <w:spacing w:line="360" w:lineRule="auto"/>
        <w:ind w:firstLine="720"/>
        <w:jc w:val="both"/>
        <w:rPr>
          <w:rFonts w:cs="Segoe UI"/>
          <w:i/>
          <w:color w:val="auto"/>
        </w:rPr>
      </w:pPr>
      <w:r>
        <w:rPr>
          <w:rFonts w:cs="Segoe UI"/>
          <w:i/>
          <w:color w:val="auto"/>
        </w:rPr>
        <w:t xml:space="preserve">„Propunerea privind </w:t>
      </w:r>
      <w:r w:rsidR="00646802">
        <w:rPr>
          <w:rFonts w:cs="Segoe UI"/>
          <w:i/>
          <w:color w:val="auto"/>
        </w:rPr>
        <w:t xml:space="preserve">această măsură de a nu se mai considera </w:t>
      </w:r>
      <w:r w:rsidR="00646802" w:rsidRPr="00646802">
        <w:rPr>
          <w:rFonts w:cs="Segoe UI"/>
          <w:i/>
          <w:color w:val="auto"/>
        </w:rPr>
        <w:t xml:space="preserve">plagiat </w:t>
      </w:r>
      <w:r w:rsidR="00D012D9">
        <w:rPr>
          <w:rFonts w:cs="Segoe UI"/>
          <w:i/>
          <w:color w:val="auto"/>
        </w:rPr>
        <w:t>în cazul tezelor</w:t>
      </w:r>
      <w:r w:rsidR="00646802" w:rsidRPr="00646802">
        <w:rPr>
          <w:rFonts w:cs="Segoe UI"/>
          <w:i/>
          <w:color w:val="auto"/>
        </w:rPr>
        <w:t xml:space="preserve"> de doctorat mai </w:t>
      </w:r>
      <w:r w:rsidR="00646802">
        <w:rPr>
          <w:rFonts w:cs="Segoe UI"/>
          <w:i/>
          <w:color w:val="auto"/>
        </w:rPr>
        <w:t xml:space="preserve">vechi de un anumit număr de ani </w:t>
      </w:r>
      <w:r>
        <w:rPr>
          <w:rFonts w:cs="Segoe UI"/>
          <w:i/>
          <w:color w:val="auto"/>
        </w:rPr>
        <w:t xml:space="preserve">reprezintă </w:t>
      </w:r>
      <w:r>
        <w:rPr>
          <w:rFonts w:cs="Segoe UI"/>
          <w:b/>
          <w:i/>
          <w:color w:val="auto"/>
        </w:rPr>
        <w:t xml:space="preserve">o lipsă de respect față de absolvenții și cercetătorii </w:t>
      </w:r>
      <w:r>
        <w:rPr>
          <w:rFonts w:cs="Segoe UI"/>
          <w:i/>
          <w:color w:val="auto"/>
        </w:rPr>
        <w:t>care au depus eforturile necesare pentru elaborarea unor lucrări științifice în mod onest</w:t>
      </w:r>
      <w:r w:rsidR="00D4517C">
        <w:rPr>
          <w:rFonts w:cs="Segoe UI"/>
          <w:i/>
          <w:color w:val="auto"/>
        </w:rPr>
        <w:t>.</w:t>
      </w:r>
      <w:r w:rsidR="0021018F">
        <w:rPr>
          <w:rFonts w:cs="Segoe UI"/>
          <w:i/>
          <w:color w:val="auto"/>
        </w:rPr>
        <w:t xml:space="preserve"> În plus</w:t>
      </w:r>
      <w:r w:rsidR="00CC1381">
        <w:rPr>
          <w:rFonts w:cs="Segoe UI"/>
          <w:i/>
          <w:color w:val="auto"/>
        </w:rPr>
        <w:t>,</w:t>
      </w:r>
      <w:r w:rsidR="0021018F">
        <w:rPr>
          <w:rFonts w:cs="Segoe UI"/>
          <w:i/>
          <w:color w:val="auto"/>
        </w:rPr>
        <w:t xml:space="preserve"> nu de mult au fost luat</w:t>
      </w:r>
      <w:r w:rsidR="00CC1381">
        <w:rPr>
          <w:rFonts w:cs="Segoe UI"/>
          <w:i/>
          <w:color w:val="auto"/>
        </w:rPr>
        <w:t>e</w:t>
      </w:r>
      <w:r w:rsidR="0021018F">
        <w:rPr>
          <w:rFonts w:cs="Segoe UI"/>
          <w:i/>
          <w:color w:val="auto"/>
        </w:rPr>
        <w:t xml:space="preserve"> măsuri de prevenție a plagiatului, anume intro</w:t>
      </w:r>
      <w:r w:rsidR="00CC1381">
        <w:rPr>
          <w:rFonts w:cs="Segoe UI"/>
          <w:i/>
          <w:color w:val="auto"/>
        </w:rPr>
        <w:t>ducerea cursurilor de etică</w:t>
      </w:r>
      <w:r w:rsidR="00B778DF">
        <w:rPr>
          <w:rFonts w:cs="Segoe UI"/>
          <w:i/>
          <w:color w:val="auto"/>
        </w:rPr>
        <w:t xml:space="preserve"> și deontologie academică</w:t>
      </w:r>
      <w:r w:rsidR="00C952CB">
        <w:rPr>
          <w:rFonts w:cs="Segoe UI"/>
          <w:i/>
          <w:color w:val="auto"/>
        </w:rPr>
        <w:t xml:space="preserve"> obligatorii la master și doctorat</w:t>
      </w:r>
      <w:r w:rsidR="009523BB">
        <w:rPr>
          <w:rFonts w:cs="Segoe UI"/>
          <w:i/>
          <w:color w:val="auto"/>
        </w:rPr>
        <w:t xml:space="preserve"> în universitățile din România.</w:t>
      </w:r>
      <w:r w:rsidR="00D4517C">
        <w:rPr>
          <w:rFonts w:cs="Segoe UI"/>
          <w:i/>
          <w:color w:val="auto"/>
        </w:rPr>
        <w:t xml:space="preserve"> Facem apel la Ministerul Educației Naționale să încurajeze respectarea </w:t>
      </w:r>
      <w:r w:rsidR="00D4517C">
        <w:rPr>
          <w:rFonts w:cs="Segoe UI"/>
          <w:b/>
          <w:i/>
          <w:color w:val="auto"/>
        </w:rPr>
        <w:t xml:space="preserve">dreptului de proprietate intelectuală asupra creației științifice, culturale sau artistice, </w:t>
      </w:r>
      <w:r w:rsidR="00D4517C">
        <w:rPr>
          <w:rFonts w:cs="Segoe UI"/>
          <w:i/>
          <w:color w:val="auto"/>
        </w:rPr>
        <w:t xml:space="preserve">garantat de către legislația în vigoare” – </w:t>
      </w:r>
      <w:r w:rsidR="00D4517C" w:rsidRPr="00D4517C">
        <w:rPr>
          <w:rFonts w:cs="Segoe UI"/>
          <w:color w:val="auto"/>
        </w:rPr>
        <w:t>Petrișor-Laurențiu ȚUCĂ, președinte ANOSR.</w:t>
      </w:r>
    </w:p>
    <w:p w:rsidR="00AC3FA1" w:rsidRPr="00AC3FA1" w:rsidRDefault="00AC3FA1" w:rsidP="00AC3FA1">
      <w:pPr>
        <w:rPr>
          <w:rFonts w:cs="Segoe UI"/>
        </w:rPr>
      </w:pPr>
    </w:p>
    <w:p w:rsidR="00AC3FA1" w:rsidRDefault="00AC3FA1" w:rsidP="00AC3FA1">
      <w:pPr>
        <w:rPr>
          <w:rFonts w:cs="Segoe UI"/>
        </w:rPr>
      </w:pPr>
    </w:p>
    <w:p w:rsidR="00792DE7" w:rsidRDefault="00792DE7" w:rsidP="00AC3FA1">
      <w:pPr>
        <w:rPr>
          <w:rFonts w:cs="Segoe UI"/>
        </w:rPr>
      </w:pPr>
    </w:p>
    <w:p w:rsidR="00AC3FA1" w:rsidRPr="00E858B2" w:rsidRDefault="00AC3FA1" w:rsidP="00AC3FA1">
      <w:pPr>
        <w:spacing w:line="360" w:lineRule="auto"/>
        <w:jc w:val="both"/>
        <w:rPr>
          <w:rFonts w:cs="Segoe UI"/>
          <w:sz w:val="20"/>
          <w:szCs w:val="20"/>
        </w:rPr>
      </w:pPr>
      <w:r w:rsidRPr="00E858B2">
        <w:rPr>
          <w:rFonts w:cs="Segoe UI"/>
          <w:sz w:val="20"/>
          <w:szCs w:val="20"/>
        </w:rPr>
        <w:t>Pentru detalii și informații suplimentare, vă stăm la dispoziție:</w:t>
      </w:r>
    </w:p>
    <w:p w:rsidR="00AC3FA1" w:rsidRPr="00E858B2" w:rsidRDefault="00AC3FA1" w:rsidP="00AC3FA1">
      <w:pPr>
        <w:spacing w:line="360" w:lineRule="auto"/>
        <w:jc w:val="both"/>
        <w:rPr>
          <w:rFonts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AC3FA1" w:rsidRPr="00E858B2" w:rsidTr="00A15F80">
        <w:tc>
          <w:tcPr>
            <w:tcW w:w="4508" w:type="dxa"/>
          </w:tcPr>
          <w:p w:rsidR="00AC3FA1" w:rsidRPr="00E858B2" w:rsidRDefault="00AC3FA1" w:rsidP="00A15F80">
            <w:pPr>
              <w:spacing w:line="360" w:lineRule="auto"/>
              <w:jc w:val="both"/>
              <w:rPr>
                <w:rFonts w:cs="Segoe UI"/>
                <w:sz w:val="20"/>
                <w:szCs w:val="20"/>
              </w:rPr>
            </w:pPr>
            <w:r w:rsidRPr="00E858B2">
              <w:rPr>
                <w:rFonts w:cs="Segoe UI"/>
                <w:sz w:val="20"/>
                <w:szCs w:val="20"/>
              </w:rPr>
              <w:t>Anastasia COSTE</w:t>
            </w:r>
          </w:p>
          <w:p w:rsidR="00AC3FA1" w:rsidRPr="00E858B2" w:rsidRDefault="00AC3FA1" w:rsidP="00A15F80">
            <w:pPr>
              <w:spacing w:line="360" w:lineRule="auto"/>
              <w:jc w:val="both"/>
              <w:rPr>
                <w:rFonts w:cs="Segoe UI"/>
                <w:sz w:val="20"/>
                <w:szCs w:val="20"/>
              </w:rPr>
            </w:pPr>
            <w:r w:rsidRPr="00E858B2">
              <w:rPr>
                <w:rFonts w:cs="Segoe UI"/>
                <w:sz w:val="20"/>
                <w:szCs w:val="20"/>
              </w:rPr>
              <w:t>Vicepreședinte Relații Publice</w:t>
            </w:r>
          </w:p>
          <w:p w:rsidR="00AC3FA1" w:rsidRPr="00E858B2" w:rsidRDefault="00AC3FA1" w:rsidP="00A15F80">
            <w:pPr>
              <w:spacing w:line="360" w:lineRule="auto"/>
              <w:jc w:val="both"/>
              <w:rPr>
                <w:rFonts w:cs="Segoe UI"/>
                <w:sz w:val="20"/>
                <w:szCs w:val="20"/>
              </w:rPr>
            </w:pPr>
            <w:r w:rsidRPr="00E858B2">
              <w:rPr>
                <w:rFonts w:cs="Segoe UI"/>
                <w:sz w:val="20"/>
                <w:szCs w:val="20"/>
              </w:rPr>
              <w:t>0786 585 888 | anastasia@anosr.ro</w:t>
            </w:r>
          </w:p>
        </w:tc>
        <w:tc>
          <w:tcPr>
            <w:tcW w:w="4508" w:type="dxa"/>
          </w:tcPr>
          <w:p w:rsidR="00AC3FA1" w:rsidRPr="00E858B2" w:rsidRDefault="00AC3FA1" w:rsidP="00A15F80">
            <w:pPr>
              <w:spacing w:line="360" w:lineRule="auto"/>
              <w:jc w:val="right"/>
              <w:rPr>
                <w:rFonts w:cs="Segoe UI"/>
                <w:sz w:val="20"/>
                <w:szCs w:val="20"/>
              </w:rPr>
            </w:pPr>
            <w:r w:rsidRPr="00E858B2">
              <w:rPr>
                <w:rFonts w:cs="Segoe UI"/>
                <w:sz w:val="20"/>
                <w:szCs w:val="20"/>
              </w:rPr>
              <w:t>Petrișor-Laurențiu ȚUCĂ</w:t>
            </w:r>
          </w:p>
          <w:p w:rsidR="00AC3FA1" w:rsidRPr="00E858B2" w:rsidRDefault="00AC3FA1" w:rsidP="00A15F80">
            <w:pPr>
              <w:spacing w:line="360" w:lineRule="auto"/>
              <w:jc w:val="right"/>
              <w:rPr>
                <w:rFonts w:cs="Segoe UI"/>
                <w:sz w:val="20"/>
                <w:szCs w:val="20"/>
              </w:rPr>
            </w:pPr>
            <w:r w:rsidRPr="00E858B2">
              <w:rPr>
                <w:rFonts w:cs="Segoe UI"/>
                <w:sz w:val="20"/>
                <w:szCs w:val="20"/>
              </w:rPr>
              <w:t>Președinte ANOSR</w:t>
            </w:r>
          </w:p>
          <w:p w:rsidR="00AC3FA1" w:rsidRPr="00E858B2" w:rsidRDefault="00AC3FA1" w:rsidP="00A15F80">
            <w:pPr>
              <w:spacing w:line="360" w:lineRule="auto"/>
              <w:jc w:val="right"/>
              <w:rPr>
                <w:rFonts w:cs="Segoe UI"/>
                <w:sz w:val="20"/>
                <w:szCs w:val="20"/>
              </w:rPr>
            </w:pPr>
            <w:r w:rsidRPr="00E858B2">
              <w:rPr>
                <w:rFonts w:cs="Segoe UI"/>
                <w:sz w:val="20"/>
                <w:szCs w:val="20"/>
              </w:rPr>
              <w:t>0724 867 829 | petrisor@anosr.ro</w:t>
            </w:r>
          </w:p>
        </w:tc>
      </w:tr>
    </w:tbl>
    <w:p w:rsidR="00AC3FA1" w:rsidRDefault="00AC3FA1" w:rsidP="00AC3FA1">
      <w:pPr>
        <w:spacing w:line="360" w:lineRule="auto"/>
        <w:jc w:val="both"/>
        <w:rPr>
          <w:rFonts w:cs="Segoe UI"/>
        </w:rPr>
      </w:pPr>
    </w:p>
    <w:p w:rsidR="00AC3FA1" w:rsidRPr="00E858B2" w:rsidRDefault="00AC3FA1" w:rsidP="00AC3FA1">
      <w:pPr>
        <w:spacing w:line="360" w:lineRule="auto"/>
        <w:jc w:val="both"/>
        <w:rPr>
          <w:rFonts w:cs="Segoe UI"/>
        </w:rPr>
      </w:pPr>
    </w:p>
    <w:p w:rsidR="00AC3FA1" w:rsidRPr="00E858B2" w:rsidRDefault="00AC3FA1" w:rsidP="00AC3FA1">
      <w:pPr>
        <w:spacing w:line="360" w:lineRule="auto"/>
        <w:jc w:val="center"/>
        <w:rPr>
          <w:rFonts w:cs="Segoe UI"/>
        </w:rPr>
      </w:pPr>
      <w:r w:rsidRPr="00E858B2">
        <w:rPr>
          <w:rFonts w:cs="Segoe UI"/>
        </w:rPr>
        <w:t>***</w:t>
      </w:r>
    </w:p>
    <w:p w:rsidR="00AC3FA1" w:rsidRPr="00E858B2" w:rsidRDefault="00AC3FA1" w:rsidP="00AC3FA1">
      <w:pPr>
        <w:spacing w:line="360" w:lineRule="auto"/>
        <w:rPr>
          <w:rFonts w:cs="Segoe UI"/>
        </w:rPr>
      </w:pPr>
    </w:p>
    <w:p w:rsidR="00AC3FA1" w:rsidRPr="00E858B2" w:rsidRDefault="00AC3FA1" w:rsidP="00AC3FA1">
      <w:pPr>
        <w:ind w:firstLine="567"/>
        <w:jc w:val="both"/>
        <w:rPr>
          <w:rFonts w:cs="Segoe UI"/>
          <w:sz w:val="20"/>
        </w:rPr>
      </w:pPr>
      <w:r w:rsidRPr="00E858B2">
        <w:rPr>
          <w:rFonts w:cs="Segoe UI"/>
          <w:b/>
          <w:sz w:val="20"/>
        </w:rPr>
        <w:t>Alianța Națională a Organizațiilor Studențești din România (ANOSR)</w:t>
      </w:r>
      <w:r w:rsidRPr="00E858B2">
        <w:rPr>
          <w:rFonts w:cs="Segoe UI"/>
          <w:sz w:val="20"/>
        </w:rPr>
        <w:t xml:space="preserve"> este federația națională studențească, non-guvernamentală și non-partizană care, de peste 19 ani, are ca </w:t>
      </w:r>
      <w:r w:rsidRPr="00E858B2">
        <w:rPr>
          <w:rFonts w:cs="Segoe UI"/>
          <w:b/>
          <w:sz w:val="20"/>
        </w:rPr>
        <w:t>scop principal</w:t>
      </w:r>
      <w:r w:rsidRPr="00E858B2">
        <w:rPr>
          <w:rFonts w:cs="Segoe UI"/>
          <w:sz w:val="20"/>
        </w:rPr>
        <w:t xml:space="preserve"> reprezentarea intereselor comune ale studenților din România, apărarea și promovarea drepturilor și obligațiilor acestora, cât și stimularea participării lor la actul educațional și la viața socială, economică și culturală.</w:t>
      </w:r>
    </w:p>
    <w:p w:rsidR="00AC3FA1" w:rsidRPr="00E858B2" w:rsidRDefault="00AC3FA1" w:rsidP="00AC3FA1">
      <w:pPr>
        <w:ind w:firstLine="567"/>
        <w:jc w:val="both"/>
        <w:rPr>
          <w:rFonts w:cs="Segoe UI"/>
          <w:sz w:val="20"/>
        </w:rPr>
      </w:pPr>
      <w:r w:rsidRPr="00E858B2">
        <w:rPr>
          <w:rFonts w:cs="Segoe UI"/>
          <w:sz w:val="20"/>
        </w:rPr>
        <w:t>ANOSR reunește studenți din 19 centre universitare din întreaga țară, din 30 de universități, atingând un număr de 100 de organizații membre, care luptă împreună pentru menținerea în funcțiune a mecanismului mișcării studențești.</w:t>
      </w:r>
    </w:p>
    <w:p w:rsidR="00AC3FA1" w:rsidRPr="00E858B2" w:rsidRDefault="00AC3FA1" w:rsidP="00AC3FA1">
      <w:pPr>
        <w:ind w:firstLine="567"/>
        <w:jc w:val="both"/>
        <w:rPr>
          <w:rFonts w:cs="Segoe UI"/>
        </w:rPr>
      </w:pPr>
      <w:r w:rsidRPr="00E858B2">
        <w:rPr>
          <w:rFonts w:cs="Segoe UI"/>
          <w:sz w:val="20"/>
        </w:rPr>
        <w:lastRenderedPageBreak/>
        <w:t xml:space="preserve">La nivel național, ANOSR este parte a </w:t>
      </w:r>
      <w:r w:rsidRPr="00E858B2">
        <w:rPr>
          <w:rFonts w:cs="Segoe UI"/>
          <w:b/>
          <w:sz w:val="20"/>
        </w:rPr>
        <w:t>Alianței pentru o Românie Curată</w:t>
      </w:r>
      <w:r w:rsidRPr="00E858B2">
        <w:rPr>
          <w:rFonts w:cs="Segoe UI"/>
          <w:sz w:val="20"/>
        </w:rPr>
        <w:t xml:space="preserve"> și membră în </w:t>
      </w:r>
      <w:r w:rsidRPr="00E858B2">
        <w:rPr>
          <w:rFonts w:cs="Segoe UI"/>
          <w:b/>
          <w:sz w:val="20"/>
        </w:rPr>
        <w:t>Consiliul Tineretului din România</w:t>
      </w:r>
      <w:r w:rsidRPr="00E858B2">
        <w:rPr>
          <w:rFonts w:cs="Segoe UI"/>
          <w:sz w:val="20"/>
        </w:rPr>
        <w:t xml:space="preserve">. De asemenea, federația este reprezentantul legitim al studenților din România la nivel european, prin statutul de membru cu drepturi depline al </w:t>
      </w:r>
      <w:r w:rsidRPr="00E858B2">
        <w:rPr>
          <w:rFonts w:cs="Segoe UI"/>
          <w:b/>
          <w:sz w:val="20"/>
        </w:rPr>
        <w:t>Organizației Europene a Studenților (ESU - European Students' Union)</w:t>
      </w:r>
      <w:r w:rsidRPr="00E858B2">
        <w:rPr>
          <w:rFonts w:cs="Segoe UI"/>
          <w:sz w:val="20"/>
        </w:rPr>
        <w:t>, singura structură europeană care reprezintă studenții.</w:t>
      </w:r>
    </w:p>
    <w:p w:rsidR="00AC3FA1" w:rsidRPr="00E858B2" w:rsidRDefault="00AC3FA1" w:rsidP="00AC3FA1">
      <w:pPr>
        <w:jc w:val="both"/>
        <w:rPr>
          <w:rFonts w:cs="Segoe UI"/>
        </w:rPr>
      </w:pPr>
    </w:p>
    <w:p w:rsidR="00AC3FA1" w:rsidRPr="00AC3FA1" w:rsidRDefault="00AC3FA1" w:rsidP="00AC3FA1">
      <w:pPr>
        <w:rPr>
          <w:rFonts w:cs="Segoe UI"/>
        </w:rPr>
      </w:pPr>
    </w:p>
    <w:sectPr w:rsidR="00AC3FA1" w:rsidRPr="00AC3FA1" w:rsidSect="00057AAF">
      <w:headerReference w:type="default" r:id="rId8"/>
      <w:footerReference w:type="default" r:id="rId9"/>
      <w:pgSz w:w="11906" w:h="16838"/>
      <w:pgMar w:top="1710" w:right="1440" w:bottom="709" w:left="144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DE" w:rsidRDefault="002D05DE" w:rsidP="00820BD3">
      <w:r>
        <w:separator/>
      </w:r>
    </w:p>
  </w:endnote>
  <w:endnote w:type="continuationSeparator" w:id="1">
    <w:p w:rsidR="002D05DE" w:rsidRDefault="002D05DE" w:rsidP="0082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D3" w:rsidRDefault="00820BD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429500" cy="1024255"/>
          <wp:effectExtent l="0" t="0" r="0" b="444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footer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DE" w:rsidRDefault="002D05DE" w:rsidP="00820BD3">
      <w:r>
        <w:separator/>
      </w:r>
    </w:p>
  </w:footnote>
  <w:footnote w:type="continuationSeparator" w:id="1">
    <w:p w:rsidR="002D05DE" w:rsidRDefault="002D05DE" w:rsidP="00820BD3">
      <w:r>
        <w:continuationSeparator/>
      </w:r>
    </w:p>
  </w:footnote>
  <w:footnote w:id="2">
    <w:p w:rsidR="00092243" w:rsidRPr="00092243" w:rsidRDefault="00E33D98" w:rsidP="00304155">
      <w:pPr>
        <w:jc w:val="both"/>
        <w:rPr>
          <w:rFonts w:cs="Segoe UI"/>
          <w:i/>
          <w:sz w:val="20"/>
          <w:szCs w:val="20"/>
        </w:rPr>
      </w:pPr>
      <w:r>
        <w:rPr>
          <w:rStyle w:val="FootnoteReference"/>
        </w:rPr>
        <w:footnoteRef/>
      </w:r>
      <w:r w:rsidRPr="00092243">
        <w:rPr>
          <w:rFonts w:cs="Segoe UI"/>
          <w:sz w:val="20"/>
          <w:szCs w:val="20"/>
        </w:rPr>
        <w:t xml:space="preserve">LEN nr. 1/2011, art. 146 – </w:t>
      </w:r>
      <w:r w:rsidRPr="00092243">
        <w:rPr>
          <w:rFonts w:cs="Segoe UI"/>
          <w:i/>
          <w:sz w:val="20"/>
          <w:szCs w:val="20"/>
        </w:rPr>
        <w:t>„Rectorul poate anula, cu aprobarea senatului universitar, un certificat sau o diplomă de studii atunci când se dovedește că s-a obținut prin mijloace frauduloase sau prin încălcarea prevederilor Codului de etică și deontologie universitară”.</w:t>
      </w:r>
    </w:p>
    <w:p w:rsidR="00E33D98" w:rsidRDefault="00E33D98">
      <w:pPr>
        <w:pStyle w:val="FootnoteText"/>
      </w:pPr>
    </w:p>
  </w:footnote>
  <w:footnote w:id="3">
    <w:p w:rsidR="00304155" w:rsidRDefault="00304155">
      <w:pPr>
        <w:pStyle w:val="FootnoteText"/>
      </w:pPr>
      <w:r>
        <w:rPr>
          <w:rStyle w:val="FootnoteReference"/>
        </w:rPr>
        <w:footnoteRef/>
      </w:r>
      <w:r>
        <w:rPr>
          <w:rFonts w:cs="Segoe UI"/>
        </w:rPr>
        <w:t xml:space="preserve">LEN nr. 1/2011, art. 130, alin. (1), lit. c) – </w:t>
      </w:r>
      <w:r>
        <w:rPr>
          <w:rFonts w:cs="Segoe UI"/>
          <w:i/>
        </w:rPr>
        <w:t>„Instituțiile de învățământ superior adoptă un cod de etică și deontologie profesională universitară. Acesta face parte din Carta universitară și include obligatoriu: măsurile educaționale, administrative și tehnice care se iau pentru garantarea originalității lucrărilor de licență, master, doctorat, articolelor științifice sau a altor asemenea lucrări, precum și sancțiunile aferente”.</w:t>
      </w:r>
    </w:p>
  </w:footnote>
  <w:footnote w:id="4">
    <w:p w:rsidR="00792DE7" w:rsidRPr="00792DE7" w:rsidRDefault="00792DE7" w:rsidP="00792DE7">
      <w:pPr>
        <w:jc w:val="both"/>
        <w:rPr>
          <w:rFonts w:cs="Segoe UI"/>
          <w:i/>
          <w:sz w:val="18"/>
          <w:szCs w:val="18"/>
        </w:rPr>
      </w:pPr>
      <w:r w:rsidRPr="00792DE7">
        <w:rPr>
          <w:rStyle w:val="FootnoteReference"/>
          <w:sz w:val="18"/>
          <w:szCs w:val="18"/>
        </w:rPr>
        <w:footnoteRef/>
      </w:r>
      <w:r w:rsidRPr="00792DE7">
        <w:rPr>
          <w:rFonts w:cs="Segoe UI"/>
          <w:sz w:val="18"/>
          <w:szCs w:val="18"/>
        </w:rPr>
        <w:t xml:space="preserve">LEN nr. 1/2011, art. 143, alin. (4) – </w:t>
      </w:r>
      <w:r w:rsidRPr="00792DE7">
        <w:rPr>
          <w:rFonts w:cs="Segoe UI"/>
          <w:i/>
          <w:sz w:val="18"/>
          <w:szCs w:val="18"/>
        </w:rPr>
        <w:t>„Îndrumătorii lucrărilor de licență, de diplomă, de diserație și de doctorat răspund în solidar cu autorii acestora de asigurarea originalității conținutului acestora”.</w:t>
      </w:r>
    </w:p>
  </w:footnote>
  <w:footnote w:id="5">
    <w:p w:rsidR="00E34E90" w:rsidRDefault="00E34E90">
      <w:pPr>
        <w:pStyle w:val="FootnoteText"/>
      </w:pPr>
      <w:r>
        <w:rPr>
          <w:rStyle w:val="FootnoteReference"/>
        </w:rPr>
        <w:footnoteRef/>
      </w:r>
      <w:r>
        <w:t xml:space="preserve"> ANOSR – </w:t>
      </w:r>
      <w:r>
        <w:rPr>
          <w:i/>
        </w:rPr>
        <w:t xml:space="preserve">Universitățile „copy-paste”: fenomenul plagiatului și impostura academică în învățământul superior românesc – perspectiva studenților, </w:t>
      </w:r>
      <w:r>
        <w:t>ianuarie 2016.</w:t>
      </w:r>
    </w:p>
    <w:p w:rsidR="00E34E90" w:rsidRPr="00E34E90" w:rsidRDefault="00C438F5">
      <w:pPr>
        <w:pStyle w:val="FootnoteText"/>
      </w:pPr>
      <w:hyperlink r:id="rId1" w:history="1">
        <w:r w:rsidR="00E34E90" w:rsidRPr="00515F97">
          <w:rPr>
            <w:rStyle w:val="Hyperlink"/>
          </w:rPr>
          <w:t>https://www.anosr.ro/studentii-reactioneaza-impotriva-universitatilor-copy-paste-si-a-imposturii-academice/</w:t>
        </w:r>
      </w:hyperlink>
    </w:p>
  </w:footnote>
  <w:footnote w:id="6">
    <w:p w:rsidR="00B25A3F" w:rsidRDefault="00B25A3F">
      <w:pPr>
        <w:pStyle w:val="FootnoteText"/>
      </w:pPr>
      <w:r>
        <w:rPr>
          <w:rStyle w:val="FootnoteReference"/>
        </w:rPr>
        <w:footnoteRef/>
      </w:r>
      <w:hyperlink r:id="rId2" w:history="1">
        <w:r w:rsidRPr="00515F97">
          <w:rPr>
            <w:rStyle w:val="Hyperlink"/>
          </w:rPr>
          <w:t>https://www.anosr.ro/incepand-cu-anul-universitar-2018-2019-studentii-masteranzi-si-doctoranzi-vor-urma-cursuri-de-etica-si-integritate-academica/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D3" w:rsidRDefault="00163CB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-389890</wp:posOffset>
          </wp:positionV>
          <wp:extent cx="1795145" cy="857250"/>
          <wp:effectExtent l="0" t="0" r="0" b="0"/>
          <wp:wrapSquare wrapText="bothSides"/>
          <wp:docPr id="2" name="Picture 2" descr="sigla centenar negru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centenar negru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0BD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6086475" cy="9239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head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18909"/>
                  <a:stretch/>
                </pic:blipFill>
                <pic:spPr bwMode="auto">
                  <a:xfrm>
                    <a:off x="0" y="0"/>
                    <a:ext cx="608647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D16"/>
    <w:multiLevelType w:val="hybridMultilevel"/>
    <w:tmpl w:val="C992631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F117A"/>
    <w:multiLevelType w:val="hybridMultilevel"/>
    <w:tmpl w:val="76C85128"/>
    <w:lvl w:ilvl="0" w:tplc="7A1AC7D2">
      <w:numFmt w:val="bullet"/>
      <w:lvlText w:val="·"/>
      <w:lvlJc w:val="left"/>
      <w:pPr>
        <w:ind w:left="570" w:hanging="360"/>
      </w:pPr>
      <w:rPr>
        <w:rFonts w:ascii="Segoe UI" w:eastAsia="Arial" w:hAnsi="Segoe UI" w:cs="Segoe UI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71F"/>
    <w:multiLevelType w:val="multilevel"/>
    <w:tmpl w:val="FBE6489A"/>
    <w:lvl w:ilvl="0">
      <w:start w:val="1"/>
      <w:numFmt w:val="decimal"/>
      <w:lvlText w:val="%1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75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82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90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9720" w:hanging="360"/>
      </w:pPr>
      <w:rPr>
        <w:strike w:val="0"/>
        <w:dstrike w:val="0"/>
        <w:u w:val="none"/>
        <w:effect w:val="none"/>
      </w:rPr>
    </w:lvl>
  </w:abstractNum>
  <w:abstractNum w:abstractNumId="3">
    <w:nsid w:val="10A41435"/>
    <w:multiLevelType w:val="hybridMultilevel"/>
    <w:tmpl w:val="8A3E0C30"/>
    <w:lvl w:ilvl="0" w:tplc="DCA419B4">
      <w:numFmt w:val="bullet"/>
      <w:lvlText w:val="-"/>
      <w:lvlJc w:val="left"/>
      <w:pPr>
        <w:ind w:left="1080" w:hanging="360"/>
      </w:pPr>
      <w:rPr>
        <w:rFonts w:ascii="Segoe UI" w:eastAsia="Arial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91316"/>
    <w:multiLevelType w:val="hybridMultilevel"/>
    <w:tmpl w:val="D5664BC6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6304BE"/>
    <w:multiLevelType w:val="hybridMultilevel"/>
    <w:tmpl w:val="5F6065C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26B34"/>
    <w:multiLevelType w:val="hybridMultilevel"/>
    <w:tmpl w:val="115C7DF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936642"/>
    <w:multiLevelType w:val="hybridMultilevel"/>
    <w:tmpl w:val="E96EE0E6"/>
    <w:lvl w:ilvl="0" w:tplc="7A1AC7D2">
      <w:numFmt w:val="bullet"/>
      <w:lvlText w:val="·"/>
      <w:lvlJc w:val="left"/>
      <w:pPr>
        <w:ind w:left="570" w:hanging="360"/>
      </w:pPr>
      <w:rPr>
        <w:rFonts w:ascii="Segoe UI" w:eastAsia="Arial" w:hAnsi="Segoe UI" w:cs="Segoe UI" w:hint="default"/>
        <w:sz w:val="24"/>
      </w:rPr>
    </w:lvl>
    <w:lvl w:ilvl="1" w:tplc="0418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26123315"/>
    <w:multiLevelType w:val="hybridMultilevel"/>
    <w:tmpl w:val="E2F0AE9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526BC0"/>
    <w:multiLevelType w:val="hybridMultilevel"/>
    <w:tmpl w:val="015C848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164F59"/>
    <w:multiLevelType w:val="multilevel"/>
    <w:tmpl w:val="ACD29A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57122397"/>
    <w:multiLevelType w:val="hybridMultilevel"/>
    <w:tmpl w:val="6214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5537F"/>
    <w:multiLevelType w:val="hybridMultilevel"/>
    <w:tmpl w:val="05C6CCE2"/>
    <w:lvl w:ilvl="0" w:tplc="041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89F5147"/>
    <w:multiLevelType w:val="hybridMultilevel"/>
    <w:tmpl w:val="CE8C739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2361B6"/>
    <w:multiLevelType w:val="multilevel"/>
    <w:tmpl w:val="BB5078C8"/>
    <w:lvl w:ilvl="0">
      <w:start w:val="1"/>
      <w:numFmt w:val="bullet"/>
      <w:lvlText w:val="●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7"/>
  </w:num>
  <w:num w:numId="6">
    <w:abstractNumId w:val="1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0BD3"/>
    <w:rsid w:val="0000084E"/>
    <w:rsid w:val="00000AAA"/>
    <w:rsid w:val="0000149F"/>
    <w:rsid w:val="0004197D"/>
    <w:rsid w:val="00057AAF"/>
    <w:rsid w:val="000668BD"/>
    <w:rsid w:val="000714E9"/>
    <w:rsid w:val="00092243"/>
    <w:rsid w:val="000E352D"/>
    <w:rsid w:val="000F239B"/>
    <w:rsid w:val="001010DA"/>
    <w:rsid w:val="00126400"/>
    <w:rsid w:val="001328AE"/>
    <w:rsid w:val="001347F3"/>
    <w:rsid w:val="00136139"/>
    <w:rsid w:val="0014028D"/>
    <w:rsid w:val="001515B6"/>
    <w:rsid w:val="00163CB7"/>
    <w:rsid w:val="00174596"/>
    <w:rsid w:val="00177190"/>
    <w:rsid w:val="00195354"/>
    <w:rsid w:val="001C185D"/>
    <w:rsid w:val="0021018F"/>
    <w:rsid w:val="00231F17"/>
    <w:rsid w:val="002522C4"/>
    <w:rsid w:val="002821C0"/>
    <w:rsid w:val="0028627F"/>
    <w:rsid w:val="00287BEC"/>
    <w:rsid w:val="002B4B23"/>
    <w:rsid w:val="002B6DFB"/>
    <w:rsid w:val="002C745C"/>
    <w:rsid w:val="002D05DE"/>
    <w:rsid w:val="002D4683"/>
    <w:rsid w:val="002D56E4"/>
    <w:rsid w:val="002F2C5C"/>
    <w:rsid w:val="002F4121"/>
    <w:rsid w:val="00304155"/>
    <w:rsid w:val="00353E4D"/>
    <w:rsid w:val="00367F48"/>
    <w:rsid w:val="003717B6"/>
    <w:rsid w:val="003842E5"/>
    <w:rsid w:val="003920B7"/>
    <w:rsid w:val="0039631A"/>
    <w:rsid w:val="003C7D63"/>
    <w:rsid w:val="003E3F13"/>
    <w:rsid w:val="003E510C"/>
    <w:rsid w:val="004165D2"/>
    <w:rsid w:val="0046003D"/>
    <w:rsid w:val="004750CA"/>
    <w:rsid w:val="004A04D9"/>
    <w:rsid w:val="004A3F70"/>
    <w:rsid w:val="004A4909"/>
    <w:rsid w:val="004A4B76"/>
    <w:rsid w:val="004E2337"/>
    <w:rsid w:val="004E5532"/>
    <w:rsid w:val="004E6D52"/>
    <w:rsid w:val="004F2844"/>
    <w:rsid w:val="00520CE3"/>
    <w:rsid w:val="00523A64"/>
    <w:rsid w:val="00524270"/>
    <w:rsid w:val="005600C7"/>
    <w:rsid w:val="005719E9"/>
    <w:rsid w:val="005969CD"/>
    <w:rsid w:val="005A39EE"/>
    <w:rsid w:val="005C1EEF"/>
    <w:rsid w:val="005C6B43"/>
    <w:rsid w:val="005E27B3"/>
    <w:rsid w:val="005E4FC6"/>
    <w:rsid w:val="00604506"/>
    <w:rsid w:val="00646802"/>
    <w:rsid w:val="00650F16"/>
    <w:rsid w:val="00652099"/>
    <w:rsid w:val="00655619"/>
    <w:rsid w:val="00664FD4"/>
    <w:rsid w:val="006A3386"/>
    <w:rsid w:val="006C021C"/>
    <w:rsid w:val="00711D2A"/>
    <w:rsid w:val="00724F8C"/>
    <w:rsid w:val="00732E89"/>
    <w:rsid w:val="00775DD0"/>
    <w:rsid w:val="00776F49"/>
    <w:rsid w:val="0078137B"/>
    <w:rsid w:val="00792DE7"/>
    <w:rsid w:val="007A2AEE"/>
    <w:rsid w:val="007A64D0"/>
    <w:rsid w:val="007B1DFD"/>
    <w:rsid w:val="00820BD3"/>
    <w:rsid w:val="00896C72"/>
    <w:rsid w:val="008A6D92"/>
    <w:rsid w:val="008A75B1"/>
    <w:rsid w:val="00907726"/>
    <w:rsid w:val="00932CDE"/>
    <w:rsid w:val="009333C7"/>
    <w:rsid w:val="00941625"/>
    <w:rsid w:val="00944D03"/>
    <w:rsid w:val="009523BB"/>
    <w:rsid w:val="009651CE"/>
    <w:rsid w:val="009A60D0"/>
    <w:rsid w:val="009B020D"/>
    <w:rsid w:val="009D41C6"/>
    <w:rsid w:val="009E25F7"/>
    <w:rsid w:val="009E43F5"/>
    <w:rsid w:val="009E6DA7"/>
    <w:rsid w:val="009F4A59"/>
    <w:rsid w:val="00A00E7B"/>
    <w:rsid w:val="00A63E99"/>
    <w:rsid w:val="00A767A3"/>
    <w:rsid w:val="00AB189E"/>
    <w:rsid w:val="00AC19CB"/>
    <w:rsid w:val="00AC3FA1"/>
    <w:rsid w:val="00AC3FB4"/>
    <w:rsid w:val="00AC40A4"/>
    <w:rsid w:val="00AC76AA"/>
    <w:rsid w:val="00AE69EE"/>
    <w:rsid w:val="00AF502D"/>
    <w:rsid w:val="00B1702A"/>
    <w:rsid w:val="00B25A3F"/>
    <w:rsid w:val="00B4096A"/>
    <w:rsid w:val="00B557A0"/>
    <w:rsid w:val="00B778DF"/>
    <w:rsid w:val="00B806F0"/>
    <w:rsid w:val="00B83F86"/>
    <w:rsid w:val="00B931B9"/>
    <w:rsid w:val="00BE029A"/>
    <w:rsid w:val="00BE05DA"/>
    <w:rsid w:val="00C03A85"/>
    <w:rsid w:val="00C10935"/>
    <w:rsid w:val="00C22B0D"/>
    <w:rsid w:val="00C25F70"/>
    <w:rsid w:val="00C307EB"/>
    <w:rsid w:val="00C3481D"/>
    <w:rsid w:val="00C438F5"/>
    <w:rsid w:val="00C43DD1"/>
    <w:rsid w:val="00C94BA3"/>
    <w:rsid w:val="00C952CB"/>
    <w:rsid w:val="00CB20C3"/>
    <w:rsid w:val="00CB6C47"/>
    <w:rsid w:val="00CC1381"/>
    <w:rsid w:val="00CC1D0D"/>
    <w:rsid w:val="00D012D9"/>
    <w:rsid w:val="00D12358"/>
    <w:rsid w:val="00D4517C"/>
    <w:rsid w:val="00D65D1F"/>
    <w:rsid w:val="00D6624D"/>
    <w:rsid w:val="00DE3B7D"/>
    <w:rsid w:val="00DF02E1"/>
    <w:rsid w:val="00DF3425"/>
    <w:rsid w:val="00E10B7B"/>
    <w:rsid w:val="00E321C2"/>
    <w:rsid w:val="00E33D98"/>
    <w:rsid w:val="00E345BE"/>
    <w:rsid w:val="00E34E90"/>
    <w:rsid w:val="00E72E80"/>
    <w:rsid w:val="00E77655"/>
    <w:rsid w:val="00E81D3C"/>
    <w:rsid w:val="00E916A1"/>
    <w:rsid w:val="00E94AC8"/>
    <w:rsid w:val="00EB36A2"/>
    <w:rsid w:val="00EB3E17"/>
    <w:rsid w:val="00ED6336"/>
    <w:rsid w:val="00EE4D7B"/>
    <w:rsid w:val="00F335E5"/>
    <w:rsid w:val="00F52845"/>
    <w:rsid w:val="00F56AC5"/>
    <w:rsid w:val="00FB64CD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4D"/>
    <w:pPr>
      <w:spacing w:after="0" w:line="240" w:lineRule="auto"/>
    </w:pPr>
    <w:rPr>
      <w:rFonts w:ascii="Segoe UI" w:eastAsia="Arial" w:hAnsi="Segoe UI" w:cs="Arial"/>
      <w:color w:val="000000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24D"/>
    <w:pPr>
      <w:ind w:right="567"/>
      <w:jc w:val="both"/>
      <w:outlineLvl w:val="0"/>
    </w:pPr>
    <w:rPr>
      <w:rFonts w:cs="Segoe UI"/>
      <w:b/>
      <w:i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6624D"/>
    <w:pPr>
      <w:outlineLvl w:val="1"/>
    </w:pPr>
    <w:rPr>
      <w:i w:val="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B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BD3"/>
  </w:style>
  <w:style w:type="paragraph" w:styleId="Footer">
    <w:name w:val="footer"/>
    <w:basedOn w:val="Normal"/>
    <w:link w:val="FooterChar"/>
    <w:uiPriority w:val="99"/>
    <w:unhideWhenUsed/>
    <w:rsid w:val="00820B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BD3"/>
  </w:style>
  <w:style w:type="table" w:styleId="TableGrid">
    <w:name w:val="Table Grid"/>
    <w:basedOn w:val="TableNormal"/>
    <w:uiPriority w:val="39"/>
    <w:rsid w:val="005C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1">
    <w:name w:val="Grid Table 2 - Accent 61"/>
    <w:basedOn w:val="TableNormal"/>
    <w:uiPriority w:val="47"/>
    <w:rsid w:val="005C1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0E3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9C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F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624D"/>
    <w:rPr>
      <w:rFonts w:ascii="Segoe UI" w:eastAsia="Arial" w:hAnsi="Segoe UI" w:cs="Segoe UI"/>
      <w:b/>
      <w:i/>
      <w:color w:val="000000"/>
      <w:sz w:val="28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6624D"/>
    <w:rPr>
      <w:rFonts w:ascii="Segoe UI" w:eastAsia="Arial" w:hAnsi="Segoe UI" w:cs="Segoe UI"/>
      <w:b/>
      <w:color w:val="000000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B55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7A0"/>
    <w:rPr>
      <w:rFonts w:ascii="Segoe UI" w:eastAsia="Arial" w:hAnsi="Segoe UI" w:cs="Arial"/>
      <w:color w:val="000000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7A0"/>
    <w:rPr>
      <w:rFonts w:ascii="Segoe UI" w:eastAsia="Arial" w:hAnsi="Segoe UI" w:cs="Arial"/>
      <w:b/>
      <w:bCs/>
      <w:color w:val="000000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A0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A0"/>
    <w:rPr>
      <w:rFonts w:ascii="Segoe UI" w:eastAsia="Arial" w:hAnsi="Segoe UI" w:cs="Segoe UI"/>
      <w:color w:val="000000"/>
      <w:sz w:val="18"/>
      <w:szCs w:val="18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B806F0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806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06F0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3D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D98"/>
    <w:rPr>
      <w:rFonts w:ascii="Segoe UI" w:eastAsia="Arial" w:hAnsi="Segoe UI" w:cs="Arial"/>
      <w:color w:val="000000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E33D9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E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osr.ro/incepand-cu-anul-universitar-2018-2019-studentii-masteranzi-si-doctoranzi-vor-urma-cursuri-de-etica-si-integritate-academica/" TargetMode="External"/><Relationship Id="rId1" Type="http://schemas.openxmlformats.org/officeDocument/2006/relationships/hyperlink" Target="https://www.anosr.ro/studentii-reactioneaza-impotriva-universitatilor-copy-paste-si-a-imposturii-academi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2183-ED37-4D9E-B242-F7EBE7CD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967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EVELINA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Dumitroaea</dc:creator>
  <cp:lastModifiedBy>PrDanut</cp:lastModifiedBy>
  <cp:revision>4</cp:revision>
  <cp:lastPrinted>2018-08-11T11:30:00Z</cp:lastPrinted>
  <dcterms:created xsi:type="dcterms:W3CDTF">2018-11-28T20:31:00Z</dcterms:created>
  <dcterms:modified xsi:type="dcterms:W3CDTF">2018-11-28T23:33:00Z</dcterms:modified>
</cp:coreProperties>
</file>