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593D" w14:textId="3FB3B0DA" w:rsidR="006C3614" w:rsidRPr="00D9387C" w:rsidRDefault="007C5E40" w:rsidP="00A428ED">
      <w:pPr>
        <w:pStyle w:val="Heading3"/>
        <w:numPr>
          <w:ilvl w:val="0"/>
          <w:numId w:val="0"/>
        </w:numPr>
        <w:ind w:left="720" w:hanging="720"/>
        <w:rPr>
          <w:rStyle w:val="IntenseReference"/>
          <w:rFonts w:cstheme="majorHAnsi"/>
          <w:b/>
          <w:bCs/>
          <w:i/>
          <w:iCs/>
          <w:noProof w:val="0"/>
          <w:sz w:val="24"/>
          <w:szCs w:val="24"/>
          <w:u w:val="none"/>
        </w:rPr>
      </w:pPr>
      <w:bookmarkStart w:id="0" w:name="_Toc114570771"/>
      <w:bookmarkStart w:id="1" w:name="_Toc115197187"/>
      <w:r w:rsidRPr="00D9387C">
        <w:rPr>
          <w:rStyle w:val="IntenseReference"/>
          <w:rFonts w:cstheme="majorHAnsi"/>
          <w:b/>
          <w:bCs/>
          <w:i/>
          <w:iCs/>
          <w:noProof w:val="0"/>
          <w:sz w:val="24"/>
          <w:szCs w:val="24"/>
          <w:u w:val="none"/>
        </w:rPr>
        <w:t>Anexa 0</w:t>
      </w:r>
      <w:r w:rsidR="00E81A58" w:rsidRPr="00D9387C">
        <w:rPr>
          <w:rStyle w:val="IntenseReference"/>
          <w:rFonts w:cstheme="majorHAnsi"/>
          <w:b/>
          <w:bCs/>
          <w:i/>
          <w:iCs/>
          <w:noProof w:val="0"/>
          <w:sz w:val="24"/>
          <w:szCs w:val="24"/>
          <w:u w:val="none"/>
        </w:rPr>
        <w:t>6</w:t>
      </w:r>
      <w:r w:rsidRPr="00D9387C">
        <w:rPr>
          <w:rStyle w:val="IntenseReference"/>
          <w:rFonts w:cstheme="majorHAnsi"/>
          <w:b/>
          <w:bCs/>
          <w:i/>
          <w:iCs/>
          <w:noProof w:val="0"/>
          <w:sz w:val="24"/>
          <w:szCs w:val="24"/>
          <w:u w:val="none"/>
        </w:rPr>
        <w:t xml:space="preserve"> - </w:t>
      </w:r>
      <w:r w:rsidR="006C3614" w:rsidRPr="00D9387C">
        <w:rPr>
          <w:rStyle w:val="IntenseReference"/>
          <w:rFonts w:cstheme="majorHAnsi"/>
          <w:b/>
          <w:bCs/>
          <w:i/>
          <w:iCs/>
          <w:noProof w:val="0"/>
          <w:sz w:val="24"/>
          <w:szCs w:val="24"/>
          <w:u w:val="none"/>
        </w:rPr>
        <w:t xml:space="preserve">Conturi necesare </w:t>
      </w:r>
      <w:r w:rsidR="00BE1F5D" w:rsidRPr="00D9387C">
        <w:rPr>
          <w:rStyle w:val="IntenseReference"/>
          <w:rFonts w:cstheme="majorHAnsi"/>
          <w:b/>
          <w:bCs/>
          <w:i/>
          <w:iCs/>
          <w:noProof w:val="0"/>
          <w:sz w:val="24"/>
          <w:szCs w:val="24"/>
          <w:u w:val="none"/>
        </w:rPr>
        <w:t>derulării</w:t>
      </w:r>
      <w:r w:rsidR="006C3614" w:rsidRPr="00D9387C">
        <w:rPr>
          <w:rStyle w:val="IntenseReference"/>
          <w:rFonts w:cstheme="majorHAnsi"/>
          <w:b/>
          <w:bCs/>
          <w:i/>
          <w:iCs/>
          <w:noProof w:val="0"/>
          <w:sz w:val="24"/>
          <w:szCs w:val="24"/>
          <w:u w:val="none"/>
        </w:rPr>
        <w:t xml:space="preserve"> </w:t>
      </w:r>
      <w:r w:rsidR="00BE1F5D" w:rsidRPr="00D9387C">
        <w:rPr>
          <w:rStyle w:val="IntenseReference"/>
          <w:rFonts w:cstheme="majorHAnsi"/>
          <w:b/>
          <w:bCs/>
          <w:i/>
          <w:iCs/>
          <w:noProof w:val="0"/>
          <w:sz w:val="24"/>
          <w:szCs w:val="24"/>
          <w:u w:val="none"/>
        </w:rPr>
        <w:t>asistenței</w:t>
      </w:r>
      <w:r w:rsidR="006C3614" w:rsidRPr="00D9387C">
        <w:rPr>
          <w:rStyle w:val="IntenseReference"/>
          <w:rFonts w:cstheme="majorHAnsi"/>
          <w:b/>
          <w:bCs/>
          <w:i/>
          <w:iCs/>
          <w:noProof w:val="0"/>
          <w:sz w:val="24"/>
          <w:szCs w:val="24"/>
          <w:u w:val="none"/>
        </w:rPr>
        <w:t xml:space="preserve"> financiare nerambursabile</w:t>
      </w:r>
      <w:r w:rsidR="007E5AC7" w:rsidRPr="00D9387C">
        <w:rPr>
          <w:rStyle w:val="IntenseReference"/>
          <w:rFonts w:cstheme="majorHAnsi"/>
          <w:b/>
          <w:bCs/>
          <w:i/>
          <w:iCs/>
          <w:noProof w:val="0"/>
          <w:sz w:val="24"/>
          <w:szCs w:val="24"/>
          <w:u w:val="none"/>
        </w:rPr>
        <w:t xml:space="preserve"> PNRAS</w:t>
      </w:r>
      <w:bookmarkEnd w:id="0"/>
      <w:bookmarkEnd w:id="1"/>
    </w:p>
    <w:p w14:paraId="3FCA3F65" w14:textId="77777777" w:rsidR="00BE1F5D" w:rsidRPr="00BE1F5D" w:rsidRDefault="00BE1F5D" w:rsidP="00BE1F5D">
      <w:pPr>
        <w:rPr>
          <w:noProof w:val="0"/>
        </w:rPr>
      </w:pPr>
    </w:p>
    <w:tbl>
      <w:tblPr>
        <w:tblStyle w:val="TableGridLight"/>
        <w:tblW w:w="9625" w:type="dxa"/>
        <w:tblLayout w:type="fixed"/>
        <w:tblLook w:val="04A0" w:firstRow="1" w:lastRow="0" w:firstColumn="1" w:lastColumn="0" w:noHBand="0" w:noVBand="1"/>
      </w:tblPr>
      <w:tblGrid>
        <w:gridCol w:w="1975"/>
        <w:gridCol w:w="1980"/>
        <w:gridCol w:w="5670"/>
      </w:tblGrid>
      <w:tr w:rsidR="006C3614" w:rsidRPr="00A20D0E" w14:paraId="49EBA203" w14:textId="77777777" w:rsidTr="00DF0177">
        <w:trPr>
          <w:trHeight w:val="230"/>
        </w:trPr>
        <w:tc>
          <w:tcPr>
            <w:tcW w:w="1975" w:type="dxa"/>
          </w:tcPr>
          <w:p w14:paraId="0ED0618A" w14:textId="77777777" w:rsidR="006C3614" w:rsidRPr="00A20D0E" w:rsidRDefault="006C3614" w:rsidP="00DF0177">
            <w:pPr>
              <w:jc w:val="both"/>
              <w:rPr>
                <w:rFonts w:cstheme="minorHAnsi"/>
                <w:b/>
                <w:bCs/>
                <w:noProof w:val="0"/>
                <w:color w:val="4472C4" w:themeColor="accent1"/>
                <w:sz w:val="22"/>
                <w:szCs w:val="22"/>
              </w:rPr>
            </w:pPr>
            <w:r w:rsidRPr="00A20D0E">
              <w:rPr>
                <w:rFonts w:cstheme="minorHAnsi"/>
                <w:b/>
                <w:bCs/>
                <w:noProof w:val="0"/>
                <w:color w:val="4472C4" w:themeColor="accent1"/>
                <w:sz w:val="22"/>
                <w:szCs w:val="22"/>
              </w:rPr>
              <w:t>Actor PNRAS</w:t>
            </w:r>
          </w:p>
        </w:tc>
        <w:tc>
          <w:tcPr>
            <w:tcW w:w="1980" w:type="dxa"/>
          </w:tcPr>
          <w:p w14:paraId="6B3A9F95" w14:textId="77777777" w:rsidR="006C3614" w:rsidRPr="00A20D0E" w:rsidRDefault="006C3614" w:rsidP="00DF0177">
            <w:pPr>
              <w:jc w:val="both"/>
              <w:rPr>
                <w:rFonts w:cstheme="minorHAnsi"/>
                <w:b/>
                <w:bCs/>
                <w:noProof w:val="0"/>
                <w:color w:val="4472C4" w:themeColor="accent1"/>
                <w:sz w:val="22"/>
                <w:szCs w:val="22"/>
              </w:rPr>
            </w:pPr>
            <w:r w:rsidRPr="00A20D0E">
              <w:rPr>
                <w:rFonts w:cstheme="minorHAnsi"/>
                <w:b/>
                <w:bCs/>
                <w:noProof w:val="0"/>
                <w:color w:val="4472C4" w:themeColor="accent1"/>
                <w:sz w:val="22"/>
                <w:szCs w:val="22"/>
              </w:rPr>
              <w:t>Tip cont</w:t>
            </w:r>
          </w:p>
        </w:tc>
        <w:tc>
          <w:tcPr>
            <w:tcW w:w="5670" w:type="dxa"/>
          </w:tcPr>
          <w:p w14:paraId="4308F6AA" w14:textId="77777777" w:rsidR="006C3614" w:rsidRPr="00A20D0E" w:rsidRDefault="006C3614" w:rsidP="00DF0177">
            <w:pPr>
              <w:jc w:val="both"/>
              <w:rPr>
                <w:rFonts w:cstheme="minorHAnsi"/>
                <w:b/>
                <w:bCs/>
                <w:noProof w:val="0"/>
                <w:color w:val="4472C4" w:themeColor="accent1"/>
                <w:sz w:val="22"/>
                <w:szCs w:val="22"/>
              </w:rPr>
            </w:pPr>
            <w:r w:rsidRPr="00A20D0E">
              <w:rPr>
                <w:rFonts w:cstheme="minorHAnsi"/>
                <w:b/>
                <w:bCs/>
                <w:noProof w:val="0"/>
                <w:color w:val="4472C4" w:themeColor="accent1"/>
                <w:sz w:val="22"/>
                <w:szCs w:val="22"/>
              </w:rPr>
              <w:t>Cont</w:t>
            </w:r>
          </w:p>
        </w:tc>
      </w:tr>
      <w:tr w:rsidR="006C3614" w:rsidRPr="00A20D0E" w14:paraId="0D29C901" w14:textId="77777777" w:rsidTr="006C44EF">
        <w:trPr>
          <w:trHeight w:val="3706"/>
        </w:trPr>
        <w:tc>
          <w:tcPr>
            <w:tcW w:w="1975" w:type="dxa"/>
          </w:tcPr>
          <w:p w14:paraId="6FB32727" w14:textId="7933580C" w:rsidR="006C3614" w:rsidRPr="00A20D0E" w:rsidRDefault="006C3614" w:rsidP="00DF0177">
            <w:pPr>
              <w:keepLines/>
              <w:tabs>
                <w:tab w:val="left" w:pos="0"/>
              </w:tabs>
              <w:spacing w:after="160" w:line="276" w:lineRule="auto"/>
              <w:jc w:val="both"/>
              <w:rPr>
                <w:rFonts w:cstheme="minorHAnsi"/>
                <w:noProof w:val="0"/>
                <w:sz w:val="22"/>
                <w:szCs w:val="22"/>
              </w:rPr>
            </w:pPr>
            <w:r w:rsidRPr="00A20D0E">
              <w:rPr>
                <w:rFonts w:cstheme="minorHAnsi"/>
                <w:noProof w:val="0"/>
                <w:sz w:val="22"/>
                <w:szCs w:val="22"/>
              </w:rPr>
              <w:t xml:space="preserve">Ministerul </w:t>
            </w:r>
            <w:r w:rsidR="00BE1F5D" w:rsidRPr="00A20D0E">
              <w:rPr>
                <w:rFonts w:cstheme="minorHAnsi"/>
                <w:noProof w:val="0"/>
                <w:sz w:val="22"/>
                <w:szCs w:val="22"/>
              </w:rPr>
              <w:t>Educației</w:t>
            </w:r>
            <w:r w:rsidRPr="00A20D0E">
              <w:rPr>
                <w:rFonts w:cstheme="minorHAnsi"/>
                <w:noProof w:val="0"/>
                <w:sz w:val="22"/>
                <w:szCs w:val="22"/>
              </w:rPr>
              <w:t>- Coordonator de reforme și/</w:t>
            </w:r>
            <w:r w:rsidR="007E5AC7">
              <w:rPr>
                <w:rFonts w:cstheme="minorHAnsi"/>
                <w:noProof w:val="0"/>
                <w:sz w:val="22"/>
                <w:szCs w:val="22"/>
              </w:rPr>
              <w:t xml:space="preserve"> </w:t>
            </w:r>
            <w:r w:rsidRPr="00A20D0E">
              <w:rPr>
                <w:rFonts w:cstheme="minorHAnsi"/>
                <w:noProof w:val="0"/>
                <w:sz w:val="22"/>
                <w:szCs w:val="22"/>
              </w:rPr>
              <w:t>sau investiții</w:t>
            </w:r>
          </w:p>
          <w:p w14:paraId="46F1E9BF" w14:textId="3475EE12" w:rsidR="006C3614" w:rsidRPr="00140579" w:rsidRDefault="006C3614" w:rsidP="00DF0177">
            <w:pPr>
              <w:keepLines/>
              <w:tabs>
                <w:tab w:val="left" w:pos="0"/>
              </w:tabs>
              <w:spacing w:after="160" w:line="276" w:lineRule="auto"/>
              <w:jc w:val="both"/>
              <w:rPr>
                <w:rFonts w:cstheme="minorHAnsi"/>
                <w:b/>
                <w:bCs/>
                <w:noProof w:val="0"/>
                <w:sz w:val="22"/>
                <w:szCs w:val="22"/>
              </w:rPr>
            </w:pPr>
          </w:p>
        </w:tc>
        <w:tc>
          <w:tcPr>
            <w:tcW w:w="1980" w:type="dxa"/>
          </w:tcPr>
          <w:p w14:paraId="49A1117D" w14:textId="68031C43" w:rsidR="006C3614" w:rsidRPr="00140579" w:rsidRDefault="006C3614" w:rsidP="00DF0177">
            <w:pPr>
              <w:jc w:val="both"/>
              <w:rPr>
                <w:rFonts w:cstheme="minorHAnsi"/>
                <w:noProof w:val="0"/>
                <w:sz w:val="22"/>
                <w:szCs w:val="22"/>
              </w:rPr>
            </w:pPr>
            <w:r w:rsidRPr="00A20D0E">
              <w:rPr>
                <w:rFonts w:cstheme="minorHAnsi"/>
                <w:noProof w:val="0"/>
                <w:sz w:val="22"/>
                <w:szCs w:val="22"/>
              </w:rPr>
              <w:t>Cont de venituri bugetare</w:t>
            </w:r>
          </w:p>
        </w:tc>
        <w:tc>
          <w:tcPr>
            <w:tcW w:w="5670" w:type="dxa"/>
          </w:tcPr>
          <w:p w14:paraId="1415C1D4" w14:textId="77777777" w:rsidR="006C3614" w:rsidRPr="00A20D0E" w:rsidRDefault="006C3614" w:rsidP="00DF0177">
            <w:pPr>
              <w:keepLines/>
              <w:tabs>
                <w:tab w:val="left" w:pos="0"/>
              </w:tabs>
              <w:spacing w:line="276" w:lineRule="auto"/>
              <w:jc w:val="both"/>
              <w:rPr>
                <w:rFonts w:cstheme="minorHAnsi"/>
                <w:b/>
                <w:bCs/>
                <w:noProof w:val="0"/>
                <w:sz w:val="22"/>
                <w:szCs w:val="22"/>
              </w:rPr>
            </w:pPr>
            <w:r w:rsidRPr="00A20D0E">
              <w:rPr>
                <w:rFonts w:cstheme="minorHAnsi"/>
                <w:b/>
                <w:bCs/>
                <w:noProof w:val="0"/>
                <w:sz w:val="22"/>
                <w:szCs w:val="22"/>
              </w:rPr>
              <w:t xml:space="preserve">20.A.49.02.01 „Venituri ale bugetului de stat - Sume rambursate din PNRR în contul proiectelor din anul curent“ </w:t>
            </w:r>
          </w:p>
          <w:p w14:paraId="4328BEBA" w14:textId="21B98E9A" w:rsidR="006C3614" w:rsidRPr="00A20D0E" w:rsidRDefault="006C3614" w:rsidP="00DF0177">
            <w:pPr>
              <w:keepLines/>
              <w:tabs>
                <w:tab w:val="left" w:pos="0"/>
              </w:tabs>
              <w:spacing w:line="276" w:lineRule="auto"/>
              <w:jc w:val="both"/>
              <w:rPr>
                <w:rFonts w:cstheme="minorHAnsi"/>
                <w:noProof w:val="0"/>
                <w:sz w:val="22"/>
                <w:szCs w:val="22"/>
              </w:rPr>
            </w:pPr>
            <w:r w:rsidRPr="00A20D0E">
              <w:rPr>
                <w:rFonts w:cstheme="minorHAnsi"/>
                <w:b/>
                <w:bCs/>
                <w:noProof w:val="0"/>
                <w:sz w:val="22"/>
                <w:szCs w:val="22"/>
              </w:rPr>
              <w:t>20.A.49.02.02 „Venituri ale bugetului de stat - Sume rambursate din PNRR în contul proiectelor din anul anterior“,</w:t>
            </w:r>
            <w:r w:rsidRPr="00A20D0E">
              <w:rPr>
                <w:rFonts w:cstheme="minorHAnsi"/>
                <w:noProof w:val="0"/>
                <w:sz w:val="22"/>
                <w:szCs w:val="22"/>
              </w:rPr>
              <w:t xml:space="preserve"> codificate cu codurile de identificare fiscală ale ordonatorilor de credite cu rol de coordonatori de reforme și/sau pentru încasarea sumelor din contul prevăzut la alin. (1) lit. a), în cazul solicitărilor de fonduri aferente beneficiarilor, alții decât cei finanțați integral din bugetul asigurărilor sociale de stat sau bugetele fondurilor speciale prevăzuți la art. 9 alin. (1) din Ordonanța de urgență a Guvernului nr. 124/2021.</w:t>
            </w:r>
          </w:p>
        </w:tc>
      </w:tr>
      <w:tr w:rsidR="006C3614" w:rsidRPr="00A20D0E" w14:paraId="12D209E2" w14:textId="77777777" w:rsidTr="00DF0177">
        <w:trPr>
          <w:trHeight w:val="1344"/>
        </w:trPr>
        <w:tc>
          <w:tcPr>
            <w:tcW w:w="1975" w:type="dxa"/>
          </w:tcPr>
          <w:p w14:paraId="3BF46BF5" w14:textId="77777777" w:rsidR="006C3614" w:rsidRPr="00A20D0E" w:rsidRDefault="006C3614" w:rsidP="00DF0177">
            <w:pPr>
              <w:keepLines/>
              <w:tabs>
                <w:tab w:val="left" w:pos="0"/>
              </w:tabs>
              <w:spacing w:after="160" w:line="276" w:lineRule="auto"/>
              <w:jc w:val="both"/>
              <w:rPr>
                <w:rFonts w:cstheme="minorHAnsi"/>
                <w:noProof w:val="0"/>
                <w:sz w:val="22"/>
                <w:szCs w:val="22"/>
              </w:rPr>
            </w:pPr>
            <w:r w:rsidRPr="00A20D0E">
              <w:rPr>
                <w:rFonts w:cstheme="minorHAnsi"/>
                <w:noProof w:val="0"/>
                <w:sz w:val="22"/>
                <w:szCs w:val="22"/>
              </w:rPr>
              <w:t>Institu</w:t>
            </w:r>
            <w:r>
              <w:rPr>
                <w:rFonts w:cstheme="minorHAnsi"/>
                <w:noProof w:val="0"/>
                <w:sz w:val="22"/>
                <w:szCs w:val="22"/>
              </w:rPr>
              <w:t>ț</w:t>
            </w:r>
            <w:r w:rsidRPr="00A20D0E">
              <w:rPr>
                <w:rFonts w:cstheme="minorHAnsi"/>
                <w:noProof w:val="0"/>
                <w:sz w:val="22"/>
                <w:szCs w:val="22"/>
              </w:rPr>
              <w:t>ii publice care au calitatea de beneficiari</w:t>
            </w:r>
            <w:r>
              <w:rPr>
                <w:rFonts w:cstheme="minorHAnsi"/>
                <w:noProof w:val="0"/>
                <w:sz w:val="22"/>
                <w:szCs w:val="22"/>
              </w:rPr>
              <w:t xml:space="preserve"> – unitățile de învățământ</w:t>
            </w:r>
            <w:r w:rsidRPr="00A20D0E">
              <w:rPr>
                <w:rFonts w:cstheme="minorHAnsi"/>
                <w:noProof w:val="0"/>
                <w:sz w:val="22"/>
                <w:szCs w:val="22"/>
              </w:rPr>
              <w:t xml:space="preserve"> </w:t>
            </w:r>
          </w:p>
        </w:tc>
        <w:tc>
          <w:tcPr>
            <w:tcW w:w="1980" w:type="dxa"/>
          </w:tcPr>
          <w:p w14:paraId="2ADE607C" w14:textId="77777777" w:rsidR="006C3614" w:rsidRPr="00A20D0E" w:rsidRDefault="006C3614" w:rsidP="00DF0177">
            <w:pPr>
              <w:jc w:val="both"/>
              <w:rPr>
                <w:rFonts w:cstheme="minorHAnsi"/>
                <w:noProof w:val="0"/>
                <w:sz w:val="22"/>
                <w:szCs w:val="22"/>
              </w:rPr>
            </w:pPr>
            <w:r w:rsidRPr="00A20D0E">
              <w:rPr>
                <w:rFonts w:cstheme="minorHAnsi"/>
                <w:noProof w:val="0"/>
                <w:sz w:val="22"/>
                <w:szCs w:val="22"/>
              </w:rPr>
              <w:t>Cont de cheltuieli bugetare</w:t>
            </w:r>
          </w:p>
        </w:tc>
        <w:tc>
          <w:tcPr>
            <w:tcW w:w="5670" w:type="dxa"/>
          </w:tcPr>
          <w:p w14:paraId="30283DA7" w14:textId="77777777" w:rsidR="006C3614" w:rsidRPr="00A20D0E" w:rsidRDefault="006C3614" w:rsidP="00DF0177">
            <w:pPr>
              <w:keepLines/>
              <w:tabs>
                <w:tab w:val="left" w:pos="0"/>
              </w:tabs>
              <w:spacing w:line="276" w:lineRule="auto"/>
              <w:jc w:val="both"/>
              <w:rPr>
                <w:rFonts w:cstheme="minorHAnsi"/>
                <w:b/>
                <w:bCs/>
                <w:noProof w:val="0"/>
                <w:sz w:val="22"/>
                <w:szCs w:val="22"/>
              </w:rPr>
            </w:pPr>
            <w:r w:rsidRPr="00A20D0E">
              <w:rPr>
                <w:rFonts w:cstheme="minorHAnsi"/>
                <w:b/>
                <w:bCs/>
                <w:noProof w:val="0"/>
                <w:sz w:val="22"/>
                <w:szCs w:val="22"/>
              </w:rPr>
              <w:t>23.A „Cheltuieli ale bugetului de stat“</w:t>
            </w:r>
            <w:r w:rsidRPr="00A20D0E">
              <w:rPr>
                <w:rFonts w:cstheme="minorHAnsi"/>
                <w:noProof w:val="0"/>
                <w:sz w:val="22"/>
                <w:szCs w:val="22"/>
              </w:rPr>
              <w:t>, articolele 60.01 „Fonduri europene nerambursabile“, 60.02 „Finanțare publică națională“, 60.03 „Sume aferente TVA“</w:t>
            </w:r>
          </w:p>
        </w:tc>
      </w:tr>
    </w:tbl>
    <w:p w14:paraId="0847C09C" w14:textId="77777777" w:rsidR="006C3614" w:rsidRPr="00A20D0E" w:rsidRDefault="006C3614" w:rsidP="006C3614">
      <w:pPr>
        <w:jc w:val="both"/>
        <w:rPr>
          <w:rFonts w:cstheme="minorHAnsi"/>
          <w:noProof w:val="0"/>
        </w:rPr>
      </w:pPr>
    </w:p>
    <w:p w14:paraId="43B4C3F7" w14:textId="77777777" w:rsidR="006C3614" w:rsidRPr="00A20D0E" w:rsidRDefault="006C3614" w:rsidP="006C3614">
      <w:pPr>
        <w:keepLines/>
        <w:tabs>
          <w:tab w:val="left" w:pos="0"/>
        </w:tabs>
        <w:spacing w:line="276" w:lineRule="auto"/>
        <w:jc w:val="both"/>
        <w:rPr>
          <w:rFonts w:cstheme="minorHAnsi"/>
          <w:noProof w:val="0"/>
        </w:rPr>
      </w:pPr>
      <w:r w:rsidRPr="00A20D0E">
        <w:rPr>
          <w:rFonts w:cstheme="minorHAnsi"/>
          <w:noProof w:val="0"/>
        </w:rPr>
        <w:t xml:space="preserve">Codurile IBAN aferente conturilor de venituri și cheltuieli bugetare sunt publicate pe site-ul Ministerului Finanțelor, la adresa: </w:t>
      </w:r>
    </w:p>
    <w:p w14:paraId="08CEA36A" w14:textId="77777777" w:rsidR="006C3614" w:rsidRPr="00A20D0E" w:rsidRDefault="00D9387C" w:rsidP="006C3614">
      <w:pPr>
        <w:keepLines/>
        <w:tabs>
          <w:tab w:val="left" w:pos="0"/>
        </w:tabs>
        <w:spacing w:line="276" w:lineRule="auto"/>
        <w:jc w:val="both"/>
        <w:rPr>
          <w:rFonts w:cstheme="minorHAnsi"/>
          <w:noProof w:val="0"/>
        </w:rPr>
      </w:pPr>
      <w:hyperlink r:id="rId5" w:history="1">
        <w:r w:rsidR="006C3614" w:rsidRPr="00A20D0E">
          <w:rPr>
            <w:rStyle w:val="Hyperlink"/>
            <w:rFonts w:cstheme="minorHAnsi"/>
            <w:noProof w:val="0"/>
          </w:rPr>
          <w:t>https://static.anaf.ro/static/10/Anaf/AsistentaContribuabili_r/iban2014/bugetstat.htm</w:t>
        </w:r>
      </w:hyperlink>
    </w:p>
    <w:p w14:paraId="7A5FD453" w14:textId="77777777" w:rsidR="006C3614" w:rsidRPr="00A20D0E" w:rsidRDefault="006C3614" w:rsidP="006C3614">
      <w:pPr>
        <w:keepLines/>
        <w:tabs>
          <w:tab w:val="left" w:pos="0"/>
        </w:tabs>
        <w:spacing w:line="276" w:lineRule="auto"/>
        <w:jc w:val="both"/>
        <w:rPr>
          <w:rFonts w:cstheme="minorHAnsi"/>
          <w:noProof w:val="0"/>
        </w:rPr>
      </w:pPr>
    </w:p>
    <w:p w14:paraId="4961648B" w14:textId="77777777" w:rsidR="006C3614" w:rsidRPr="00A20D0E" w:rsidRDefault="006C3614" w:rsidP="006C3614">
      <w:pPr>
        <w:keepLines/>
        <w:tabs>
          <w:tab w:val="left" w:pos="0"/>
        </w:tabs>
        <w:spacing w:line="276" w:lineRule="auto"/>
        <w:jc w:val="both"/>
        <w:rPr>
          <w:rFonts w:cstheme="minorHAnsi"/>
          <w:noProof w:val="0"/>
        </w:rPr>
      </w:pPr>
    </w:p>
    <w:p w14:paraId="27DB8D7B" w14:textId="77777777" w:rsidR="00887547" w:rsidRDefault="00887547">
      <w:pPr>
        <w:rPr>
          <w:noProof w:val="0"/>
        </w:rPr>
      </w:pPr>
    </w:p>
    <w:sectPr w:rsidR="0088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F3083C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6264" w:hanging="864"/>
      </w:pPr>
    </w:lvl>
    <w:lvl w:ilvl="4">
      <w:start w:val="1"/>
      <w:numFmt w:val="decimal"/>
      <w:pStyle w:val="Heading5"/>
      <w:lvlText w:val="%1.%2.%3.%4.%5"/>
      <w:lvlJc w:val="left"/>
      <w:pPr>
        <w:ind w:left="4553"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49404645">
    <w:abstractNumId w:val="0"/>
  </w:num>
  <w:num w:numId="2" w16cid:durableId="108503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bQwMTQ3tjSxMDVU0lEKTi0uzszPAykwqgUA+QNq1SwAAAA="/>
  </w:docVars>
  <w:rsids>
    <w:rsidRoot w:val="00CF2DC8"/>
    <w:rsid w:val="006C3614"/>
    <w:rsid w:val="007C5E40"/>
    <w:rsid w:val="007E5AC7"/>
    <w:rsid w:val="00887547"/>
    <w:rsid w:val="00A428ED"/>
    <w:rsid w:val="00BE1F5D"/>
    <w:rsid w:val="00C113D8"/>
    <w:rsid w:val="00CF2DC8"/>
    <w:rsid w:val="00D9387C"/>
    <w:rsid w:val="00E8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C95C"/>
  <w15:chartTrackingRefBased/>
  <w15:docId w15:val="{5527F977-8BC3-4D53-BAD0-D7CB2EFC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14"/>
    <w:rPr>
      <w:rFonts w:eastAsiaTheme="minorEastAsia"/>
      <w:noProof/>
      <w:lang w:val="ro-RO"/>
    </w:rPr>
  </w:style>
  <w:style w:type="paragraph" w:styleId="Heading1">
    <w:name w:val="heading 1"/>
    <w:basedOn w:val="Normal"/>
    <w:next w:val="Normal"/>
    <w:link w:val="Heading1Char"/>
    <w:uiPriority w:val="9"/>
    <w:qFormat/>
    <w:rsid w:val="006C361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C361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C3614"/>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6C3614"/>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6C3614"/>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C3614"/>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C361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361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361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614"/>
    <w:rPr>
      <w:rFonts w:asciiTheme="majorHAnsi" w:eastAsiaTheme="majorEastAsia" w:hAnsiTheme="majorHAnsi" w:cstheme="majorBidi"/>
      <w:b/>
      <w:bCs/>
      <w:smallCaps/>
      <w:noProof/>
      <w:color w:val="000000" w:themeColor="text1"/>
      <w:sz w:val="36"/>
      <w:szCs w:val="36"/>
      <w:lang w:val="ro-RO"/>
    </w:rPr>
  </w:style>
  <w:style w:type="character" w:customStyle="1" w:styleId="Heading2Char">
    <w:name w:val="Heading 2 Char"/>
    <w:basedOn w:val="DefaultParagraphFont"/>
    <w:link w:val="Heading2"/>
    <w:uiPriority w:val="9"/>
    <w:rsid w:val="006C3614"/>
    <w:rPr>
      <w:rFonts w:asciiTheme="majorHAnsi" w:eastAsiaTheme="majorEastAsia" w:hAnsiTheme="majorHAnsi" w:cstheme="majorBidi"/>
      <w:b/>
      <w:bCs/>
      <w:smallCaps/>
      <w:noProof/>
      <w:color w:val="000000" w:themeColor="text1"/>
      <w:sz w:val="28"/>
      <w:szCs w:val="28"/>
      <w:lang w:val="ro-RO"/>
    </w:rPr>
  </w:style>
  <w:style w:type="character" w:customStyle="1" w:styleId="Heading3Char">
    <w:name w:val="Heading 3 Char"/>
    <w:basedOn w:val="DefaultParagraphFont"/>
    <w:link w:val="Heading3"/>
    <w:uiPriority w:val="9"/>
    <w:rsid w:val="006C3614"/>
    <w:rPr>
      <w:rFonts w:asciiTheme="majorHAnsi" w:eastAsiaTheme="majorEastAsia" w:hAnsiTheme="majorHAnsi" w:cstheme="majorBidi"/>
      <w:b/>
      <w:bCs/>
      <w:noProof/>
      <w:color w:val="000000" w:themeColor="text1"/>
      <w:lang w:val="ro-RO"/>
    </w:rPr>
  </w:style>
  <w:style w:type="character" w:customStyle="1" w:styleId="Heading4Char">
    <w:name w:val="Heading 4 Char"/>
    <w:basedOn w:val="DefaultParagraphFont"/>
    <w:link w:val="Heading4"/>
    <w:uiPriority w:val="9"/>
    <w:rsid w:val="006C3614"/>
    <w:rPr>
      <w:rFonts w:asciiTheme="majorHAnsi" w:eastAsiaTheme="majorEastAsia" w:hAnsiTheme="majorHAnsi" w:cstheme="majorBidi"/>
      <w:b/>
      <w:bCs/>
      <w:i/>
      <w:iCs/>
      <w:noProof/>
      <w:color w:val="000000" w:themeColor="text1"/>
      <w:lang w:val="ro-RO"/>
    </w:rPr>
  </w:style>
  <w:style w:type="character" w:customStyle="1" w:styleId="Heading5Char">
    <w:name w:val="Heading 5 Char"/>
    <w:basedOn w:val="DefaultParagraphFont"/>
    <w:link w:val="Heading5"/>
    <w:uiPriority w:val="9"/>
    <w:rsid w:val="006C3614"/>
    <w:rPr>
      <w:rFonts w:asciiTheme="majorHAnsi" w:eastAsiaTheme="majorEastAsia" w:hAnsiTheme="majorHAnsi" w:cstheme="majorBidi"/>
      <w:noProof/>
      <w:color w:val="323E4F" w:themeColor="text2" w:themeShade="BF"/>
      <w:lang w:val="ro-RO"/>
    </w:rPr>
  </w:style>
  <w:style w:type="character" w:customStyle="1" w:styleId="Heading6Char">
    <w:name w:val="Heading 6 Char"/>
    <w:basedOn w:val="DefaultParagraphFont"/>
    <w:link w:val="Heading6"/>
    <w:uiPriority w:val="9"/>
    <w:semiHidden/>
    <w:rsid w:val="006C3614"/>
    <w:rPr>
      <w:rFonts w:asciiTheme="majorHAnsi" w:eastAsiaTheme="majorEastAsia" w:hAnsiTheme="majorHAnsi" w:cstheme="majorBidi"/>
      <w:i/>
      <w:iCs/>
      <w:noProof/>
      <w:color w:val="323E4F" w:themeColor="text2" w:themeShade="BF"/>
      <w:lang w:val="ro-RO"/>
    </w:rPr>
  </w:style>
  <w:style w:type="character" w:customStyle="1" w:styleId="Heading7Char">
    <w:name w:val="Heading 7 Char"/>
    <w:basedOn w:val="DefaultParagraphFont"/>
    <w:link w:val="Heading7"/>
    <w:uiPriority w:val="9"/>
    <w:semiHidden/>
    <w:rsid w:val="006C3614"/>
    <w:rPr>
      <w:rFonts w:asciiTheme="majorHAnsi" w:eastAsiaTheme="majorEastAsia" w:hAnsiTheme="majorHAnsi" w:cstheme="majorBidi"/>
      <w:i/>
      <w:iCs/>
      <w:noProof/>
      <w:color w:val="404040" w:themeColor="text1" w:themeTint="BF"/>
      <w:lang w:val="ro-RO"/>
    </w:rPr>
  </w:style>
  <w:style w:type="character" w:customStyle="1" w:styleId="Heading8Char">
    <w:name w:val="Heading 8 Char"/>
    <w:basedOn w:val="DefaultParagraphFont"/>
    <w:link w:val="Heading8"/>
    <w:uiPriority w:val="9"/>
    <w:semiHidden/>
    <w:rsid w:val="006C3614"/>
    <w:rPr>
      <w:rFonts w:asciiTheme="majorHAnsi" w:eastAsiaTheme="majorEastAsia" w:hAnsiTheme="majorHAnsi" w:cstheme="majorBidi"/>
      <w:noProof/>
      <w:color w:val="404040" w:themeColor="text1" w:themeTint="BF"/>
      <w:sz w:val="20"/>
      <w:szCs w:val="20"/>
      <w:lang w:val="ro-RO"/>
    </w:rPr>
  </w:style>
  <w:style w:type="character" w:customStyle="1" w:styleId="Heading9Char">
    <w:name w:val="Heading 9 Char"/>
    <w:basedOn w:val="DefaultParagraphFont"/>
    <w:link w:val="Heading9"/>
    <w:uiPriority w:val="9"/>
    <w:semiHidden/>
    <w:rsid w:val="006C3614"/>
    <w:rPr>
      <w:rFonts w:asciiTheme="majorHAnsi" w:eastAsiaTheme="majorEastAsia" w:hAnsiTheme="majorHAnsi" w:cstheme="majorBidi"/>
      <w:i/>
      <w:iCs/>
      <w:noProof/>
      <w:color w:val="404040" w:themeColor="text1" w:themeTint="BF"/>
      <w:sz w:val="20"/>
      <w:szCs w:val="20"/>
      <w:lang w:val="ro-RO"/>
    </w:rPr>
  </w:style>
  <w:style w:type="character" w:styleId="IntenseReference">
    <w:name w:val="Intense Reference"/>
    <w:basedOn w:val="DefaultParagraphFont"/>
    <w:uiPriority w:val="32"/>
    <w:qFormat/>
    <w:rsid w:val="006C3614"/>
    <w:rPr>
      <w:b/>
      <w:bCs/>
      <w:smallCaps/>
      <w:u w:val="single"/>
    </w:rPr>
  </w:style>
  <w:style w:type="character" w:styleId="Hyperlink">
    <w:name w:val="Hyperlink"/>
    <w:basedOn w:val="DefaultParagraphFont"/>
    <w:uiPriority w:val="99"/>
    <w:unhideWhenUsed/>
    <w:rsid w:val="006C3614"/>
    <w:rPr>
      <w:color w:val="0563C1" w:themeColor="hyperlink"/>
      <w:u w:val="single"/>
    </w:rPr>
  </w:style>
  <w:style w:type="character" w:styleId="CommentReference">
    <w:name w:val="annotation reference"/>
    <w:basedOn w:val="DefaultParagraphFont"/>
    <w:uiPriority w:val="99"/>
    <w:semiHidden/>
    <w:unhideWhenUsed/>
    <w:rsid w:val="006C3614"/>
    <w:rPr>
      <w:sz w:val="16"/>
      <w:szCs w:val="16"/>
    </w:rPr>
  </w:style>
  <w:style w:type="paragraph" w:styleId="CommentText">
    <w:name w:val="annotation text"/>
    <w:basedOn w:val="Normal"/>
    <w:link w:val="CommentTextChar"/>
    <w:uiPriority w:val="99"/>
    <w:unhideWhenUsed/>
    <w:rsid w:val="006C3614"/>
    <w:pPr>
      <w:spacing w:line="240" w:lineRule="auto"/>
    </w:pPr>
    <w:rPr>
      <w:sz w:val="20"/>
      <w:szCs w:val="20"/>
    </w:rPr>
  </w:style>
  <w:style w:type="character" w:customStyle="1" w:styleId="CommentTextChar">
    <w:name w:val="Comment Text Char"/>
    <w:basedOn w:val="DefaultParagraphFont"/>
    <w:link w:val="CommentText"/>
    <w:uiPriority w:val="99"/>
    <w:rsid w:val="006C3614"/>
    <w:rPr>
      <w:rFonts w:eastAsiaTheme="minorEastAsia"/>
      <w:noProof/>
      <w:sz w:val="20"/>
      <w:szCs w:val="20"/>
      <w:lang w:val="ro-RO"/>
    </w:rPr>
  </w:style>
  <w:style w:type="table" w:styleId="TableGridLight">
    <w:name w:val="Grid Table Light"/>
    <w:basedOn w:val="TableNormal"/>
    <w:uiPriority w:val="40"/>
    <w:rsid w:val="006C3614"/>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7C5E40"/>
    <w:pPr>
      <w:widowControl w:val="0"/>
      <w:autoSpaceDE w:val="0"/>
      <w:autoSpaceDN w:val="0"/>
      <w:adjustRightInd w:val="0"/>
      <w:spacing w:after="0" w:line="288" w:lineRule="auto"/>
      <w:textAlignment w:val="center"/>
    </w:pPr>
    <w:rPr>
      <w:rFonts w:ascii="MinionPro-Regular" w:eastAsia="MS PGothic" w:hAnsi="MinionPro-Regular" w:cs="MinionPro-Regular"/>
      <w:noProof w:val="0"/>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ic.anaf.ro/static/10/Anaf/AsistentaContribuabili_r/iban2014/bugetst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1235</Characters>
  <Application>Microsoft Office Word</Application>
  <DocSecurity>0</DocSecurity>
  <Lines>10</Lines>
  <Paragraphs>2</Paragraphs>
  <ScaleCrop>false</ScaleCrop>
  <Company>UEFISCDI</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Manuela Radulescu</cp:lastModifiedBy>
  <cp:revision>9</cp:revision>
  <dcterms:created xsi:type="dcterms:W3CDTF">2022-10-05T05:49:00Z</dcterms:created>
  <dcterms:modified xsi:type="dcterms:W3CDTF">2022-10-05T14:28:00Z</dcterms:modified>
</cp:coreProperties>
</file>