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012B" w14:textId="1EE7E777" w:rsidR="00CE140B" w:rsidRPr="00F95209" w:rsidRDefault="00E83281" w:rsidP="00CE140B">
      <w:pPr>
        <w:pStyle w:val="Heading3"/>
        <w:numPr>
          <w:ilvl w:val="0"/>
          <w:numId w:val="0"/>
        </w:numPr>
        <w:rPr>
          <w:i/>
          <w:iCs/>
          <w:noProof w:val="0"/>
          <w:sz w:val="24"/>
          <w:szCs w:val="24"/>
        </w:rPr>
      </w:pPr>
      <w:bookmarkStart w:id="0" w:name="_Toc115783386"/>
      <w:r w:rsidRPr="00F95209">
        <w:rPr>
          <w:i/>
          <w:iCs/>
          <w:noProof w:val="0"/>
          <w:sz w:val="24"/>
          <w:szCs w:val="24"/>
        </w:rPr>
        <w:t>Anexa 0</w:t>
      </w:r>
      <w:r w:rsidR="00345C70" w:rsidRPr="00F95209">
        <w:rPr>
          <w:i/>
          <w:iCs/>
          <w:noProof w:val="0"/>
          <w:sz w:val="24"/>
          <w:szCs w:val="24"/>
        </w:rPr>
        <w:t>8</w:t>
      </w:r>
      <w:r w:rsidRPr="00F95209">
        <w:rPr>
          <w:i/>
          <w:iCs/>
          <w:noProof w:val="0"/>
          <w:sz w:val="24"/>
          <w:szCs w:val="24"/>
        </w:rPr>
        <w:t xml:space="preserve"> - </w:t>
      </w:r>
      <w:r w:rsidR="00CE140B" w:rsidRPr="00F95209">
        <w:rPr>
          <w:i/>
          <w:iCs/>
          <w:noProof w:val="0"/>
          <w:sz w:val="24"/>
          <w:szCs w:val="24"/>
        </w:rPr>
        <w:t>Tipuri de cheltuieli eligibile SG-PNRAS</w:t>
      </w:r>
      <w:bookmarkEnd w:id="0"/>
    </w:p>
    <w:p w14:paraId="5324C6E1" w14:textId="77777777" w:rsidR="00CE140B" w:rsidRPr="00CF64F7" w:rsidRDefault="00CE140B" w:rsidP="00CE140B">
      <w:pPr>
        <w:spacing w:before="56" w:after="4"/>
        <w:ind w:left="258" w:right="-184"/>
        <w:jc w:val="both"/>
        <w:rPr>
          <w:rFonts w:asciiTheme="majorHAnsi" w:eastAsiaTheme="majorEastAsia" w:hAnsiTheme="majorHAnsi" w:cstheme="majorBidi"/>
          <w:b/>
          <w:bCs/>
          <w:noProof w:val="0"/>
          <w:color w:val="000000" w:themeColor="text1"/>
        </w:rPr>
      </w:pPr>
    </w:p>
    <w:tbl>
      <w:tblPr>
        <w:tblStyle w:val="TableGridLight"/>
        <w:tblW w:w="9086" w:type="dxa"/>
        <w:tblLayout w:type="fixed"/>
        <w:tblLook w:val="01E0" w:firstRow="1" w:lastRow="1" w:firstColumn="1" w:lastColumn="1" w:noHBand="0" w:noVBand="0"/>
      </w:tblPr>
      <w:tblGrid>
        <w:gridCol w:w="9086"/>
      </w:tblGrid>
      <w:tr w:rsidR="00CE140B" w:rsidRPr="00CF64F7" w14:paraId="0FB1DF23" w14:textId="77777777" w:rsidTr="00DE3362">
        <w:trPr>
          <w:trHeight w:val="406"/>
        </w:trPr>
        <w:tc>
          <w:tcPr>
            <w:tcW w:w="9086" w:type="dxa"/>
          </w:tcPr>
          <w:p w14:paraId="44EE9408" w14:textId="77777777" w:rsidR="00CE140B" w:rsidRPr="00CF64F7" w:rsidRDefault="00CE140B" w:rsidP="00DE3362">
            <w:pPr>
              <w:ind w:right="-184"/>
              <w:jc w:val="both"/>
              <w:rPr>
                <w:rFonts w:eastAsia="Open Sans" w:cstheme="minorHAnsi"/>
                <w:b/>
                <w:bCs/>
                <w:noProof w:val="0"/>
                <w:color w:val="000000" w:themeColor="text1"/>
                <w:sz w:val="22"/>
                <w:szCs w:val="22"/>
              </w:rPr>
            </w:pPr>
            <w:r w:rsidRPr="00CF64F7">
              <w:rPr>
                <w:rFonts w:eastAsia="Open Sans" w:cstheme="minorHAnsi"/>
                <w:b/>
                <w:bCs/>
                <w:noProof w:val="0"/>
                <w:sz w:val="22"/>
                <w:szCs w:val="22"/>
              </w:rPr>
              <w:t>Tipuri</w:t>
            </w:r>
            <w:r w:rsidRPr="00CF64F7">
              <w:rPr>
                <w:rFonts w:eastAsia="Open Sans" w:cstheme="minorHAnsi"/>
                <w:b/>
                <w:bCs/>
                <w:noProof w:val="0"/>
                <w:color w:val="000000" w:themeColor="text1"/>
                <w:sz w:val="22"/>
                <w:szCs w:val="22"/>
              </w:rPr>
              <w:t xml:space="preserve"> de cheltuieli eligibile</w:t>
            </w:r>
          </w:p>
        </w:tc>
      </w:tr>
      <w:tr w:rsidR="00CE140B" w:rsidRPr="00CF64F7" w14:paraId="1DDEE0D9" w14:textId="77777777" w:rsidTr="00DE3362">
        <w:trPr>
          <w:trHeight w:val="406"/>
        </w:trPr>
        <w:tc>
          <w:tcPr>
            <w:tcW w:w="9086" w:type="dxa"/>
          </w:tcPr>
          <w:p w14:paraId="35C9E83B" w14:textId="77777777" w:rsidR="00CE140B" w:rsidRPr="00CF64F7" w:rsidRDefault="00CE140B" w:rsidP="00DE3362">
            <w:pPr>
              <w:spacing w:line="276" w:lineRule="auto"/>
              <w:ind w:right="-184"/>
              <w:jc w:val="both"/>
              <w:rPr>
                <w:rFonts w:eastAsia="Open Sans" w:cstheme="minorHAnsi"/>
                <w:b/>
                <w:bCs/>
                <w:noProof w:val="0"/>
                <w:sz w:val="22"/>
                <w:szCs w:val="22"/>
                <w:highlight w:val="cyan"/>
              </w:rPr>
            </w:pPr>
            <w:r w:rsidRPr="00CF64F7">
              <w:rPr>
                <w:rFonts w:eastAsia="Open Sans" w:cstheme="minorHAnsi"/>
                <w:b/>
                <w:bCs/>
                <w:noProof w:val="0"/>
                <w:sz w:val="22"/>
                <w:szCs w:val="22"/>
              </w:rPr>
              <w:t>(a) CHELTUIELI PENTRU SERVICII (maxim 15% din valoarea totala a grantului)</w:t>
            </w:r>
          </w:p>
        </w:tc>
      </w:tr>
      <w:tr w:rsidR="00CE140B" w:rsidRPr="00CF64F7" w14:paraId="537E1A7A" w14:textId="77777777" w:rsidTr="00DE3362">
        <w:trPr>
          <w:trHeight w:val="406"/>
        </w:trPr>
        <w:tc>
          <w:tcPr>
            <w:tcW w:w="9086" w:type="dxa"/>
          </w:tcPr>
          <w:p w14:paraId="0A64AE44"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Servicii pentru realizarea activităților pentru care școala nu are expertiza sau capacitatea necesară, respectiv: activități pedagogice și de sprijin (inclusiv cursuri de remediere, testare cunoștințe, evaluare dificultăți de învățare, consiliere și orientare școlară, mediere, educație parentală, consiliere psihologică, etc), activități </w:t>
            </w:r>
            <w:proofErr w:type="spellStart"/>
            <w:r w:rsidRPr="00CF64F7">
              <w:rPr>
                <w:rFonts w:cstheme="minorHAnsi"/>
                <w:noProof w:val="0"/>
                <w:sz w:val="22"/>
                <w:szCs w:val="22"/>
              </w:rPr>
              <w:t>extracurriculare</w:t>
            </w:r>
            <w:proofErr w:type="spellEnd"/>
            <w:r w:rsidRPr="00CF64F7">
              <w:rPr>
                <w:rFonts w:cstheme="minorHAnsi"/>
                <w:noProof w:val="0"/>
                <w:sz w:val="22"/>
                <w:szCs w:val="22"/>
              </w:rPr>
              <w:t xml:space="preserve"> (activități non-formale, activități culturale comunitare, sportive, participare la concursuri școlare, participare la cercuri școlare, educație pentru sănătate, activități de </w:t>
            </w:r>
            <w:proofErr w:type="spellStart"/>
            <w:r w:rsidRPr="00CF64F7">
              <w:rPr>
                <w:rFonts w:cstheme="minorHAnsi"/>
                <w:noProof w:val="0"/>
                <w:sz w:val="22"/>
                <w:szCs w:val="22"/>
              </w:rPr>
              <w:t>networking</w:t>
            </w:r>
            <w:proofErr w:type="spellEnd"/>
            <w:r w:rsidRPr="00CF64F7">
              <w:rPr>
                <w:rFonts w:cstheme="minorHAnsi"/>
                <w:noProof w:val="0"/>
                <w:sz w:val="22"/>
                <w:szCs w:val="22"/>
              </w:rPr>
              <w:t xml:space="preserve"> școlar, terapie prin artă etc</w:t>
            </w:r>
            <w:r>
              <w:rPr>
                <w:rFonts w:cstheme="minorHAnsi"/>
                <w:noProof w:val="0"/>
                <w:sz w:val="22"/>
                <w:szCs w:val="22"/>
              </w:rPr>
              <w:t>.</w:t>
            </w:r>
            <w:r w:rsidRPr="00CF64F7">
              <w:rPr>
                <w:rFonts w:cstheme="minorHAnsi"/>
                <w:noProof w:val="0"/>
                <w:sz w:val="22"/>
                <w:szCs w:val="22"/>
              </w:rPr>
              <w:t>) și activități destinate îmbunătățirii calității practicilor de predare, prin observare la clasă și îndrumare (</w:t>
            </w:r>
            <w:proofErr w:type="spellStart"/>
            <w:r w:rsidRPr="00CF64F7">
              <w:rPr>
                <w:rFonts w:cstheme="minorHAnsi"/>
                <w:noProof w:val="0"/>
                <w:sz w:val="22"/>
                <w:szCs w:val="22"/>
              </w:rPr>
              <w:t>coaching</w:t>
            </w:r>
            <w:proofErr w:type="spellEnd"/>
            <w:r w:rsidRPr="00CF64F7">
              <w:rPr>
                <w:rFonts w:cstheme="minorHAnsi"/>
                <w:noProof w:val="0"/>
                <w:sz w:val="22"/>
                <w:szCs w:val="22"/>
              </w:rPr>
              <w:t xml:space="preserve">) a cadrelor didactice în școală. Prestatorii de servicii pot fi PFA (persoane fizice autorizate, cu excepția funcționarilor publici) sau entități publice sau private, inclusiv companii/firme, universități, institute de cercetări, agenții guvernamentale, ONG-uri, care au în obiectul de activitate serviciile vizate. </w:t>
            </w:r>
          </w:p>
        </w:tc>
      </w:tr>
      <w:tr w:rsidR="00CE140B" w:rsidRPr="00CF64F7" w14:paraId="2496B88E" w14:textId="77777777" w:rsidTr="00DE3362">
        <w:trPr>
          <w:trHeight w:val="406"/>
        </w:trPr>
        <w:tc>
          <w:tcPr>
            <w:tcW w:w="9086" w:type="dxa"/>
          </w:tcPr>
          <w:p w14:paraId="27CAA7DE" w14:textId="77777777" w:rsidR="00CE140B" w:rsidRPr="00CF64F7" w:rsidRDefault="00CE140B" w:rsidP="00DE3362">
            <w:pPr>
              <w:spacing w:line="276" w:lineRule="auto"/>
              <w:ind w:right="145"/>
              <w:jc w:val="both"/>
              <w:rPr>
                <w:rFonts w:eastAsia="Open Sans" w:cstheme="minorHAnsi"/>
                <w:noProof w:val="0"/>
                <w:sz w:val="22"/>
                <w:szCs w:val="22"/>
              </w:rPr>
            </w:pPr>
            <w:r w:rsidRPr="00CF64F7">
              <w:rPr>
                <w:rFonts w:eastAsia="Open Sans" w:cstheme="minorHAnsi"/>
                <w:b/>
                <w:bCs/>
                <w:noProof w:val="0"/>
                <w:sz w:val="22"/>
                <w:szCs w:val="22"/>
              </w:rPr>
              <w:t>(b) CHELTUIELI DE NATURĂ SALARIALĂ (maxim 15% din valoarea totală a grantului)</w:t>
            </w:r>
          </w:p>
        </w:tc>
      </w:tr>
      <w:tr w:rsidR="00CE140B" w:rsidRPr="00CF64F7" w14:paraId="4E138DBA" w14:textId="77777777" w:rsidTr="00DE3362">
        <w:trPr>
          <w:trHeight w:val="406"/>
        </w:trPr>
        <w:tc>
          <w:tcPr>
            <w:tcW w:w="9086" w:type="dxa"/>
          </w:tcPr>
          <w:p w14:paraId="4532EF4F"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Cheltuieli salariale cu personalul angajat in proiect (consilier școlar, mediator școlar, psiholog, logoped, cadre didactice etc.) pentru activități specifice cu durata limitata in timp , cum ar fi: lecții </w:t>
            </w:r>
            <w:proofErr w:type="spellStart"/>
            <w:r w:rsidRPr="00CF64F7">
              <w:rPr>
                <w:rFonts w:cstheme="minorHAnsi"/>
                <w:noProof w:val="0"/>
                <w:sz w:val="22"/>
                <w:szCs w:val="22"/>
              </w:rPr>
              <w:t>remediale</w:t>
            </w:r>
            <w:proofErr w:type="spellEnd"/>
            <w:r w:rsidRPr="00CF64F7">
              <w:rPr>
                <w:rFonts w:cstheme="minorHAnsi"/>
                <w:noProof w:val="0"/>
                <w:sz w:val="22"/>
                <w:szCs w:val="22"/>
              </w:rPr>
              <w:t>, activități de tipul școală după școală, consiliere, introducere de date etc.</w:t>
            </w:r>
          </w:p>
        </w:tc>
      </w:tr>
      <w:tr w:rsidR="00CE140B" w:rsidRPr="00CF64F7" w14:paraId="76A1F75A" w14:textId="77777777" w:rsidTr="00DE3362">
        <w:trPr>
          <w:trHeight w:val="406"/>
        </w:trPr>
        <w:tc>
          <w:tcPr>
            <w:tcW w:w="9086" w:type="dxa"/>
          </w:tcPr>
          <w:p w14:paraId="5F310537" w14:textId="77777777" w:rsidR="00CE140B" w:rsidRPr="00CF64F7" w:rsidRDefault="00CE140B" w:rsidP="00DE3362">
            <w:pPr>
              <w:ind w:right="145"/>
              <w:jc w:val="both"/>
              <w:rPr>
                <w:rFonts w:eastAsia="Open Sans" w:cstheme="minorHAnsi"/>
                <w:b/>
                <w:bCs/>
                <w:noProof w:val="0"/>
                <w:sz w:val="22"/>
                <w:szCs w:val="22"/>
              </w:rPr>
            </w:pPr>
            <w:r w:rsidRPr="00CF64F7">
              <w:rPr>
                <w:rFonts w:eastAsia="Open Sans" w:cstheme="minorHAnsi"/>
                <w:b/>
                <w:bCs/>
                <w:noProof w:val="0"/>
                <w:sz w:val="22"/>
                <w:szCs w:val="22"/>
              </w:rPr>
              <w:t>(c) CHELTUIELI PENTRU EVENIMENTE ȘI DEPLASĂRI (maxim 15% din valoarea totală a grantului)</w:t>
            </w:r>
          </w:p>
        </w:tc>
      </w:tr>
      <w:tr w:rsidR="00CE140B" w:rsidRPr="00CF64F7" w14:paraId="63E1A28B" w14:textId="77777777" w:rsidTr="00DE3362">
        <w:trPr>
          <w:trHeight w:val="549"/>
        </w:trPr>
        <w:tc>
          <w:tcPr>
            <w:tcW w:w="9086" w:type="dxa"/>
          </w:tcPr>
          <w:p w14:paraId="3E9B38DF"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Evenimente </w:t>
            </w:r>
            <w:r>
              <w:rPr>
                <w:rFonts w:cstheme="minorHAnsi"/>
                <w:noProof w:val="0"/>
                <w:sz w:val="22"/>
                <w:szCs w:val="22"/>
              </w:rPr>
              <w:t>ș</w:t>
            </w:r>
            <w:r w:rsidRPr="00CF64F7">
              <w:rPr>
                <w:rFonts w:cstheme="minorHAnsi"/>
                <w:noProof w:val="0"/>
                <w:sz w:val="22"/>
                <w:szCs w:val="22"/>
              </w:rPr>
              <w:t xml:space="preserve">i deplasări. Cheltuieli pentru organizare de evenimente aferente activităților </w:t>
            </w:r>
            <w:proofErr w:type="spellStart"/>
            <w:r w:rsidRPr="00CF64F7">
              <w:rPr>
                <w:rFonts w:cstheme="minorHAnsi"/>
                <w:noProof w:val="0"/>
                <w:sz w:val="22"/>
                <w:szCs w:val="22"/>
              </w:rPr>
              <w:t>extracurriculare</w:t>
            </w:r>
            <w:proofErr w:type="spellEnd"/>
            <w:r w:rsidRPr="00CF64F7">
              <w:rPr>
                <w:rFonts w:cstheme="minorHAnsi"/>
                <w:noProof w:val="0"/>
                <w:sz w:val="22"/>
                <w:szCs w:val="22"/>
              </w:rPr>
              <w:t xml:space="preserve"> (vizite de documentare, activități outdoor, excursii, tabere, festivaluri, </w:t>
            </w:r>
            <w:proofErr w:type="spellStart"/>
            <w:r w:rsidRPr="00CF64F7">
              <w:rPr>
                <w:rFonts w:cstheme="minorHAnsi"/>
                <w:noProof w:val="0"/>
                <w:sz w:val="22"/>
                <w:szCs w:val="22"/>
              </w:rPr>
              <w:t>seminarii</w:t>
            </w:r>
            <w:proofErr w:type="spellEnd"/>
            <w:r w:rsidRPr="00CF64F7">
              <w:rPr>
                <w:rFonts w:cstheme="minorHAnsi"/>
                <w:noProof w:val="0"/>
                <w:sz w:val="22"/>
                <w:szCs w:val="22"/>
              </w:rPr>
              <w:t>, ateliere de lucru și vizite de studiu destinate copiilor/tinerilor, tabere, excursii, festivaluri, etc.) cheltuieli de deplasare și diurnă/hrană pentru participanții la evenimente, închirierea facilităților, elaborarea și multiplicarea materialelor de informare și alte activități legate de pregătirea și organizarea evenimentelor.</w:t>
            </w:r>
          </w:p>
        </w:tc>
      </w:tr>
      <w:tr w:rsidR="00CE140B" w:rsidRPr="00CF64F7" w14:paraId="585315BA" w14:textId="77777777" w:rsidTr="00DE3362">
        <w:trPr>
          <w:trHeight w:val="549"/>
        </w:trPr>
        <w:tc>
          <w:tcPr>
            <w:tcW w:w="9086" w:type="dxa"/>
          </w:tcPr>
          <w:p w14:paraId="62259F09" w14:textId="77777777" w:rsidR="00CE140B" w:rsidRPr="00CF64F7" w:rsidRDefault="00CE140B" w:rsidP="00DE3362">
            <w:pPr>
              <w:spacing w:line="276" w:lineRule="auto"/>
              <w:ind w:right="145"/>
              <w:jc w:val="both"/>
              <w:rPr>
                <w:rFonts w:eastAsia="Open Sans" w:cstheme="minorHAnsi"/>
                <w:noProof w:val="0"/>
                <w:sz w:val="22"/>
                <w:szCs w:val="22"/>
              </w:rPr>
            </w:pPr>
            <w:r w:rsidRPr="00CF64F7">
              <w:rPr>
                <w:rFonts w:eastAsia="Open Sans" w:cstheme="minorHAnsi"/>
                <w:b/>
                <w:bCs/>
                <w:noProof w:val="0"/>
                <w:sz w:val="22"/>
                <w:szCs w:val="22"/>
              </w:rPr>
              <w:t>(d) CHELTUIELI DE FORMARE A CADRELOR DIDACTICE (maxim 5% din valoarea totală a grantului)</w:t>
            </w:r>
          </w:p>
        </w:tc>
      </w:tr>
      <w:tr w:rsidR="00CE140B" w:rsidRPr="00CF64F7" w14:paraId="61A102B7" w14:textId="77777777" w:rsidTr="00DE3362">
        <w:trPr>
          <w:trHeight w:val="549"/>
        </w:trPr>
        <w:tc>
          <w:tcPr>
            <w:tcW w:w="9086" w:type="dxa"/>
          </w:tcPr>
          <w:p w14:paraId="06756B46"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Cheltuieli efectuate pentru formarea cadrelor didactice și a personalului auxiliar, inclusiv organizarea de </w:t>
            </w:r>
            <w:proofErr w:type="spellStart"/>
            <w:r w:rsidRPr="00CF64F7">
              <w:rPr>
                <w:rFonts w:cstheme="minorHAnsi"/>
                <w:noProof w:val="0"/>
                <w:sz w:val="22"/>
                <w:szCs w:val="22"/>
              </w:rPr>
              <w:t>seminarii</w:t>
            </w:r>
            <w:proofErr w:type="spellEnd"/>
            <w:r w:rsidRPr="00CF64F7">
              <w:rPr>
                <w:rFonts w:cstheme="minorHAnsi"/>
                <w:noProof w:val="0"/>
                <w:sz w:val="22"/>
                <w:szCs w:val="22"/>
              </w:rPr>
              <w:t>, ateliere de lucru și vizite de studiu, cheltuieli de deplasare și diurnă pentru participanții la formare, onorariile instructorilor, închirierea facilităților, întocmirea și multiplicarea materialelor și alte activități legate de pregătirea și implementarea activităților de formare, taxe de participare la cursuri (online) de formare, conferințe, evenimente și workshop-uri destinate cadrelor didactice</w:t>
            </w:r>
          </w:p>
        </w:tc>
      </w:tr>
      <w:tr w:rsidR="00CE140B" w:rsidRPr="00CF64F7" w14:paraId="7BB78545" w14:textId="77777777" w:rsidTr="00DE3362">
        <w:trPr>
          <w:trHeight w:val="549"/>
        </w:trPr>
        <w:tc>
          <w:tcPr>
            <w:tcW w:w="9086" w:type="dxa"/>
          </w:tcPr>
          <w:p w14:paraId="78F21FB6" w14:textId="77777777" w:rsidR="00CE140B" w:rsidRPr="00CF64F7" w:rsidRDefault="00CE140B" w:rsidP="00DE3362">
            <w:pPr>
              <w:spacing w:line="276" w:lineRule="auto"/>
              <w:ind w:right="145"/>
              <w:jc w:val="both"/>
              <w:rPr>
                <w:rFonts w:eastAsia="Open Sans" w:cstheme="minorHAnsi"/>
                <w:b/>
                <w:bCs/>
                <w:noProof w:val="0"/>
                <w:sz w:val="22"/>
                <w:szCs w:val="22"/>
              </w:rPr>
            </w:pPr>
            <w:r w:rsidRPr="00CF64F7">
              <w:rPr>
                <w:rFonts w:eastAsia="Open Sans" w:cstheme="minorHAnsi"/>
                <w:b/>
                <w:bCs/>
                <w:noProof w:val="0"/>
                <w:sz w:val="22"/>
                <w:szCs w:val="22"/>
              </w:rPr>
              <w:t>(e) ECHIPAMENTE ȘI SOFTWARE (minim 20% - maxim 20% din valoarea totală a grantului)</w:t>
            </w:r>
          </w:p>
        </w:tc>
      </w:tr>
      <w:tr w:rsidR="00CE140B" w:rsidRPr="00CF64F7" w14:paraId="44A7721B" w14:textId="77777777" w:rsidTr="00DE3362">
        <w:trPr>
          <w:trHeight w:val="549"/>
        </w:trPr>
        <w:tc>
          <w:tcPr>
            <w:tcW w:w="9086" w:type="dxa"/>
          </w:tcPr>
          <w:p w14:paraId="4A80A785"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lastRenderedPageBreak/>
              <w:t>Cheltuieli pentru echipamente și software pentru dotarea claselor inteligente și a altor spații educaționale ( de exemplu table interactive, stații mobile pentru încărcare inteligentă, tablete/</w:t>
            </w:r>
            <w:proofErr w:type="spellStart"/>
            <w:r w:rsidRPr="00CF64F7">
              <w:rPr>
                <w:rFonts w:cstheme="minorHAnsi"/>
                <w:noProof w:val="0"/>
                <w:sz w:val="22"/>
                <w:szCs w:val="22"/>
              </w:rPr>
              <w:t>chromebooks</w:t>
            </w:r>
            <w:proofErr w:type="spellEnd"/>
            <w:r w:rsidRPr="00CF64F7">
              <w:rPr>
                <w:rFonts w:cstheme="minorHAnsi"/>
                <w:noProof w:val="0"/>
                <w:sz w:val="22"/>
                <w:szCs w:val="22"/>
              </w:rPr>
              <w:t xml:space="preserve">, </w:t>
            </w:r>
            <w:proofErr w:type="spellStart"/>
            <w:r w:rsidRPr="00CF64F7">
              <w:rPr>
                <w:rFonts w:cstheme="minorHAnsi"/>
                <w:noProof w:val="0"/>
                <w:sz w:val="22"/>
                <w:szCs w:val="22"/>
              </w:rPr>
              <w:t>routere</w:t>
            </w:r>
            <w:proofErr w:type="spellEnd"/>
            <w:r w:rsidRPr="00CF64F7">
              <w:rPr>
                <w:rFonts w:cstheme="minorHAnsi"/>
                <w:noProof w:val="0"/>
                <w:sz w:val="22"/>
                <w:szCs w:val="22"/>
              </w:rPr>
              <w:t xml:space="preserve"> wireless, multifuncționale, imprimante, computere, laptopuri, camere video, software aferent etc.) și alte produse/echipamente necesare realizării activităților proiectului. Taxe abonament subscripții. Servicii internet, taxe sau abonamente la platforme educaționale sau pentru m</w:t>
            </w:r>
            <w:r>
              <w:rPr>
                <w:rFonts w:cstheme="minorHAnsi"/>
                <w:noProof w:val="0"/>
                <w:sz w:val="22"/>
                <w:szCs w:val="22"/>
              </w:rPr>
              <w:t>a</w:t>
            </w:r>
            <w:r w:rsidRPr="00CF64F7">
              <w:rPr>
                <w:rFonts w:cstheme="minorHAnsi"/>
                <w:noProof w:val="0"/>
                <w:sz w:val="22"/>
                <w:szCs w:val="22"/>
              </w:rPr>
              <w:t>nagementul școlarității, subscripții pentru resurse educaționale si publicații ONLINE etc.</w:t>
            </w:r>
          </w:p>
        </w:tc>
      </w:tr>
      <w:tr w:rsidR="00CE140B" w:rsidRPr="00CF64F7" w14:paraId="0850B4D1" w14:textId="77777777" w:rsidTr="00DE3362">
        <w:trPr>
          <w:trHeight w:val="406"/>
        </w:trPr>
        <w:tc>
          <w:tcPr>
            <w:tcW w:w="9086" w:type="dxa"/>
          </w:tcPr>
          <w:p w14:paraId="66D15903" w14:textId="77777777" w:rsidR="00CE140B" w:rsidRPr="00CF64F7" w:rsidRDefault="00CE140B" w:rsidP="00DE3362">
            <w:pPr>
              <w:ind w:right="145"/>
              <w:jc w:val="both"/>
              <w:rPr>
                <w:rFonts w:eastAsia="Open Sans" w:cstheme="minorHAnsi"/>
                <w:b/>
                <w:bCs/>
                <w:noProof w:val="0"/>
                <w:sz w:val="22"/>
                <w:szCs w:val="22"/>
              </w:rPr>
            </w:pPr>
            <w:r w:rsidRPr="00CF64F7">
              <w:rPr>
                <w:rFonts w:eastAsia="Open Sans" w:cstheme="minorHAnsi"/>
                <w:b/>
                <w:bCs/>
                <w:noProof w:val="0"/>
                <w:sz w:val="22"/>
                <w:szCs w:val="22"/>
              </w:rPr>
              <w:t>(f) CHELTUIELI MICI LUCRARI DE AMENJARE SI MOBILIER (maxim 10% din valoarea totală a grantului)</w:t>
            </w:r>
          </w:p>
        </w:tc>
      </w:tr>
      <w:tr w:rsidR="00CE140B" w:rsidRPr="00CF64F7" w14:paraId="666344FD" w14:textId="77777777" w:rsidTr="00DE3362">
        <w:trPr>
          <w:trHeight w:val="264"/>
        </w:trPr>
        <w:tc>
          <w:tcPr>
            <w:tcW w:w="9086" w:type="dxa"/>
          </w:tcPr>
          <w:p w14:paraId="1B35588C"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Mobilier pentru spațiile destinate activităților proiectului (clasele inteligente sau alte săli de clasă, laboratoare, cabinete, centre de consiliere, bibliotecă/Centre de Documentare și Informare); </w:t>
            </w:r>
          </w:p>
          <w:p w14:paraId="6892A330"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Mici lucrări: reconfigurare spațiu interior, diverse alte lucrări minore de amenajar</w:t>
            </w:r>
            <w:r w:rsidRPr="00CF64F7">
              <w:rPr>
                <w:rFonts w:cstheme="minorHAnsi"/>
                <w:noProof w:val="0"/>
              </w:rPr>
              <w:t>e</w:t>
            </w:r>
            <w:r w:rsidRPr="00CF64F7">
              <w:rPr>
                <w:rFonts w:cstheme="minorHAnsi"/>
                <w:noProof w:val="0"/>
                <w:sz w:val="22"/>
                <w:szCs w:val="22"/>
              </w:rPr>
              <w:t xml:space="preserve"> spatii de învățare si spatii de lectura, curtea scolii, salii de sport, spatii comune, alte mici lucrări pentru activității educaționale.</w:t>
            </w:r>
          </w:p>
          <w:p w14:paraId="5C8B4858"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b/>
                <w:bCs/>
                <w:noProof w:val="0"/>
                <w:sz w:val="22"/>
                <w:szCs w:val="22"/>
              </w:rPr>
              <w:t>Toate lucrările realizate in cadrul grantului se refera la o clădire existenta, nu pot fi finanțate lucrări majore. Toate lucrările de amenajar</w:t>
            </w:r>
            <w:r w:rsidRPr="00CF64F7">
              <w:rPr>
                <w:rFonts w:cstheme="minorHAnsi"/>
                <w:b/>
                <w:bCs/>
                <w:noProof w:val="0"/>
              </w:rPr>
              <w:t>e</w:t>
            </w:r>
            <w:r w:rsidRPr="00CF64F7">
              <w:rPr>
                <w:rFonts w:cstheme="minorHAnsi"/>
                <w:b/>
                <w:bCs/>
                <w:noProof w:val="0"/>
                <w:sz w:val="22"/>
                <w:szCs w:val="22"/>
              </w:rPr>
              <w:t xml:space="preserve"> vor avea un impact minim sau nu vor afecta mediul înconjurător</w:t>
            </w:r>
            <w:r w:rsidRPr="00CF64F7">
              <w:rPr>
                <w:rFonts w:cstheme="minorHAnsi"/>
                <w:noProof w:val="0"/>
                <w:sz w:val="22"/>
                <w:szCs w:val="22"/>
              </w:rPr>
              <w:t>.</w:t>
            </w:r>
          </w:p>
        </w:tc>
      </w:tr>
      <w:tr w:rsidR="00CE140B" w:rsidRPr="00CF64F7" w14:paraId="70575F69" w14:textId="77777777" w:rsidTr="00DE3362">
        <w:trPr>
          <w:trHeight w:val="264"/>
        </w:trPr>
        <w:tc>
          <w:tcPr>
            <w:tcW w:w="9086" w:type="dxa"/>
          </w:tcPr>
          <w:p w14:paraId="095A82C4" w14:textId="77777777" w:rsidR="00CE140B" w:rsidRPr="00CF64F7" w:rsidRDefault="00CE140B" w:rsidP="00DE3362">
            <w:pPr>
              <w:ind w:right="145"/>
              <w:jc w:val="both"/>
              <w:rPr>
                <w:rFonts w:eastAsia="Open Sans" w:cstheme="minorHAnsi"/>
                <w:b/>
                <w:bCs/>
                <w:noProof w:val="0"/>
                <w:sz w:val="22"/>
                <w:szCs w:val="22"/>
              </w:rPr>
            </w:pPr>
            <w:r w:rsidRPr="00CF64F7">
              <w:rPr>
                <w:rFonts w:eastAsia="Open Sans" w:cstheme="minorHAnsi"/>
                <w:b/>
                <w:bCs/>
                <w:noProof w:val="0"/>
                <w:sz w:val="22"/>
                <w:szCs w:val="22"/>
              </w:rPr>
              <w:t>(g) CHELTUIELI PENTRU ALTE BUNURI SI SERVICII (maxim 35% din valoarea totală a grantului)</w:t>
            </w:r>
          </w:p>
        </w:tc>
      </w:tr>
      <w:tr w:rsidR="00CE140B" w:rsidRPr="00CF64F7" w14:paraId="4A91A028" w14:textId="77777777" w:rsidTr="00DE3362">
        <w:trPr>
          <w:trHeight w:val="264"/>
        </w:trPr>
        <w:tc>
          <w:tcPr>
            <w:tcW w:w="9086" w:type="dxa"/>
          </w:tcPr>
          <w:p w14:paraId="62F4208D"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Hrană pentru participanții la activitățile educaționale. Alte bunuri si materiale consumabile, Resurse educaționale, cărți, reviste de specialitate, publicații; alte bunuri consumabile, mărfuri, materii prime și utilaje.</w:t>
            </w:r>
          </w:p>
        </w:tc>
      </w:tr>
      <w:tr w:rsidR="00CE140B" w:rsidRPr="00CF64F7" w14:paraId="2D463D01" w14:textId="77777777" w:rsidTr="00DE3362">
        <w:trPr>
          <w:trHeight w:val="436"/>
        </w:trPr>
        <w:tc>
          <w:tcPr>
            <w:tcW w:w="9086" w:type="dxa"/>
          </w:tcPr>
          <w:p w14:paraId="4FB9FDB1" w14:textId="77777777" w:rsidR="00CE140B" w:rsidRPr="00CF64F7" w:rsidRDefault="00CE140B" w:rsidP="00DE3362">
            <w:pPr>
              <w:spacing w:line="276" w:lineRule="auto"/>
              <w:ind w:right="145"/>
              <w:jc w:val="both"/>
              <w:rPr>
                <w:rFonts w:eastAsia="Open Sans" w:cstheme="minorHAnsi"/>
                <w:b/>
                <w:bCs/>
                <w:noProof w:val="0"/>
                <w:sz w:val="22"/>
                <w:szCs w:val="22"/>
              </w:rPr>
            </w:pPr>
            <w:r w:rsidRPr="00CF64F7">
              <w:rPr>
                <w:rFonts w:eastAsia="Open Sans" w:cstheme="minorHAnsi"/>
                <w:b/>
                <w:bCs/>
                <w:noProof w:val="0"/>
                <w:sz w:val="22"/>
                <w:szCs w:val="22"/>
              </w:rPr>
              <w:t>(h). CHELTUIELI CU SUBVENȚII, AJUTOARE, PREMII (maximum 10% din valoarea totală a grantului)</w:t>
            </w:r>
          </w:p>
        </w:tc>
      </w:tr>
      <w:tr w:rsidR="00CE140B" w:rsidRPr="00CF64F7" w14:paraId="43508BDA" w14:textId="77777777" w:rsidTr="00DE3362">
        <w:trPr>
          <w:trHeight w:val="345"/>
        </w:trPr>
        <w:tc>
          <w:tcPr>
            <w:tcW w:w="9086" w:type="dxa"/>
          </w:tcPr>
          <w:p w14:paraId="7A9F10B3" w14:textId="77777777" w:rsidR="00CE140B" w:rsidRPr="00CF64F7" w:rsidRDefault="00CE140B" w:rsidP="00DE3362">
            <w:pPr>
              <w:keepLines/>
              <w:tabs>
                <w:tab w:val="left" w:pos="0"/>
              </w:tabs>
              <w:spacing w:line="276" w:lineRule="auto"/>
              <w:jc w:val="both"/>
              <w:rPr>
                <w:rFonts w:cstheme="minorHAnsi"/>
                <w:noProof w:val="0"/>
                <w:sz w:val="22"/>
                <w:szCs w:val="22"/>
              </w:rPr>
            </w:pPr>
            <w:r w:rsidRPr="00CF64F7">
              <w:rPr>
                <w:rFonts w:cstheme="minorHAnsi"/>
                <w:noProof w:val="0"/>
                <w:sz w:val="22"/>
                <w:szCs w:val="22"/>
              </w:rPr>
              <w:t xml:space="preserve">Subvenții, ajutoare, premii pentru participanții la activitățile de intervenție și compensare. </w:t>
            </w:r>
          </w:p>
        </w:tc>
      </w:tr>
    </w:tbl>
    <w:p w14:paraId="04120889" w14:textId="77777777" w:rsidR="00CE140B" w:rsidRPr="00CF64F7" w:rsidRDefault="00CE140B" w:rsidP="00CE140B">
      <w:pPr>
        <w:keepLines/>
        <w:tabs>
          <w:tab w:val="left" w:pos="0"/>
        </w:tabs>
        <w:spacing w:line="276" w:lineRule="auto"/>
        <w:jc w:val="both"/>
        <w:rPr>
          <w:rFonts w:cstheme="minorHAnsi"/>
          <w:noProof w:val="0"/>
        </w:rPr>
      </w:pPr>
    </w:p>
    <w:p w14:paraId="172D839E" w14:textId="77777777" w:rsidR="00167C5D" w:rsidRDefault="00F95209"/>
    <w:sectPr w:rsidR="0016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F3083C8C"/>
    <w:lvl w:ilvl="0">
      <w:start w:val="1"/>
      <w:numFmt w:val="decimal"/>
      <w:pStyle w:val="Heading1"/>
      <w:lvlText w:val="%1"/>
      <w:lvlJc w:val="left"/>
      <w:pPr>
        <w:ind w:left="432" w:hanging="432"/>
      </w:pPr>
    </w:lvl>
    <w:lvl w:ilvl="1">
      <w:start w:val="1"/>
      <w:numFmt w:val="decimal"/>
      <w:pStyle w:val="Heading2"/>
      <w:lvlText w:val="%1.%2"/>
      <w:lvlJc w:val="left"/>
      <w:pPr>
        <w:ind w:left="2646" w:hanging="576"/>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5184" w:hanging="864"/>
      </w:pPr>
    </w:lvl>
    <w:lvl w:ilvl="4">
      <w:start w:val="1"/>
      <w:numFmt w:val="decimal"/>
      <w:pStyle w:val="Heading5"/>
      <w:lvlText w:val="%1.%2.%3.%4.%5"/>
      <w:lvlJc w:val="left"/>
      <w:pPr>
        <w:ind w:left="4553"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2180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2NbEwMjU3MTExszRW0lEKTi0uzszPAykwqQUAd2D27SwAAAA="/>
  </w:docVars>
  <w:rsids>
    <w:rsidRoot w:val="00CE140B"/>
    <w:rsid w:val="0001677D"/>
    <w:rsid w:val="00094C28"/>
    <w:rsid w:val="000E440D"/>
    <w:rsid w:val="00345C70"/>
    <w:rsid w:val="004032F3"/>
    <w:rsid w:val="004C53B9"/>
    <w:rsid w:val="00641E51"/>
    <w:rsid w:val="00B3754F"/>
    <w:rsid w:val="00BC7FCC"/>
    <w:rsid w:val="00CD288B"/>
    <w:rsid w:val="00CE140B"/>
    <w:rsid w:val="00D01EFE"/>
    <w:rsid w:val="00E25EC1"/>
    <w:rsid w:val="00E83281"/>
    <w:rsid w:val="00F95209"/>
    <w:rsid w:val="00FA0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658C"/>
  <w15:chartTrackingRefBased/>
  <w15:docId w15:val="{29D53169-54B1-4CBE-967E-24F29963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40B"/>
    <w:rPr>
      <w:rFonts w:eastAsiaTheme="minorEastAsia"/>
      <w:noProof/>
      <w:lang w:val="ro-RO"/>
    </w:rPr>
  </w:style>
  <w:style w:type="paragraph" w:styleId="Heading1">
    <w:name w:val="heading 1"/>
    <w:basedOn w:val="Normal"/>
    <w:next w:val="Normal"/>
    <w:link w:val="Heading1Char"/>
    <w:uiPriority w:val="9"/>
    <w:qFormat/>
    <w:rsid w:val="00CE140B"/>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CE140B"/>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CE140B"/>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CE140B"/>
    <w:pPr>
      <w:keepNext/>
      <w:keepLines/>
      <w:numPr>
        <w:ilvl w:val="3"/>
        <w:numId w:val="1"/>
      </w:numPr>
      <w:spacing w:before="200" w:after="0"/>
      <w:ind w:left="6444"/>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CE140B"/>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CE140B"/>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CE140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140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140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0B"/>
    <w:rPr>
      <w:rFonts w:asciiTheme="majorHAnsi" w:eastAsiaTheme="majorEastAsia" w:hAnsiTheme="majorHAnsi" w:cstheme="majorBidi"/>
      <w:b/>
      <w:bCs/>
      <w:smallCaps/>
      <w:noProof/>
      <w:color w:val="000000" w:themeColor="text1"/>
      <w:sz w:val="36"/>
      <w:szCs w:val="36"/>
      <w:lang w:val="ro-RO"/>
    </w:rPr>
  </w:style>
  <w:style w:type="character" w:customStyle="1" w:styleId="Heading2Char">
    <w:name w:val="Heading 2 Char"/>
    <w:basedOn w:val="DefaultParagraphFont"/>
    <w:link w:val="Heading2"/>
    <w:uiPriority w:val="9"/>
    <w:rsid w:val="00CE140B"/>
    <w:rPr>
      <w:rFonts w:asciiTheme="majorHAnsi" w:eastAsiaTheme="majorEastAsia" w:hAnsiTheme="majorHAnsi" w:cstheme="majorBidi"/>
      <w:b/>
      <w:bCs/>
      <w:smallCaps/>
      <w:noProof/>
      <w:color w:val="000000" w:themeColor="text1"/>
      <w:sz w:val="28"/>
      <w:szCs w:val="28"/>
      <w:lang w:val="ro-RO"/>
    </w:rPr>
  </w:style>
  <w:style w:type="character" w:customStyle="1" w:styleId="Heading3Char">
    <w:name w:val="Heading 3 Char"/>
    <w:basedOn w:val="DefaultParagraphFont"/>
    <w:link w:val="Heading3"/>
    <w:uiPriority w:val="9"/>
    <w:rsid w:val="00CE140B"/>
    <w:rPr>
      <w:rFonts w:asciiTheme="majorHAnsi" w:eastAsiaTheme="majorEastAsia" w:hAnsiTheme="majorHAnsi" w:cstheme="majorBidi"/>
      <w:b/>
      <w:bCs/>
      <w:noProof/>
      <w:color w:val="000000" w:themeColor="text1"/>
      <w:lang w:val="ro-RO"/>
    </w:rPr>
  </w:style>
  <w:style w:type="character" w:customStyle="1" w:styleId="Heading4Char">
    <w:name w:val="Heading 4 Char"/>
    <w:basedOn w:val="DefaultParagraphFont"/>
    <w:link w:val="Heading4"/>
    <w:uiPriority w:val="9"/>
    <w:rsid w:val="00CE140B"/>
    <w:rPr>
      <w:rFonts w:asciiTheme="majorHAnsi" w:eastAsiaTheme="majorEastAsia" w:hAnsiTheme="majorHAnsi" w:cstheme="majorBidi"/>
      <w:b/>
      <w:bCs/>
      <w:i/>
      <w:iCs/>
      <w:noProof/>
      <w:color w:val="000000" w:themeColor="text1"/>
      <w:lang w:val="ro-RO"/>
    </w:rPr>
  </w:style>
  <w:style w:type="character" w:customStyle="1" w:styleId="Heading5Char">
    <w:name w:val="Heading 5 Char"/>
    <w:basedOn w:val="DefaultParagraphFont"/>
    <w:link w:val="Heading5"/>
    <w:uiPriority w:val="9"/>
    <w:rsid w:val="00CE140B"/>
    <w:rPr>
      <w:rFonts w:asciiTheme="majorHAnsi" w:eastAsiaTheme="majorEastAsia" w:hAnsiTheme="majorHAnsi" w:cstheme="majorBidi"/>
      <w:noProof/>
      <w:color w:val="323E4F" w:themeColor="text2" w:themeShade="BF"/>
      <w:lang w:val="ro-RO"/>
    </w:rPr>
  </w:style>
  <w:style w:type="character" w:customStyle="1" w:styleId="Heading6Char">
    <w:name w:val="Heading 6 Char"/>
    <w:basedOn w:val="DefaultParagraphFont"/>
    <w:link w:val="Heading6"/>
    <w:uiPriority w:val="9"/>
    <w:semiHidden/>
    <w:rsid w:val="00CE140B"/>
    <w:rPr>
      <w:rFonts w:asciiTheme="majorHAnsi" w:eastAsiaTheme="majorEastAsia" w:hAnsiTheme="majorHAnsi" w:cstheme="majorBidi"/>
      <w:i/>
      <w:iCs/>
      <w:noProof/>
      <w:color w:val="323E4F" w:themeColor="text2" w:themeShade="BF"/>
      <w:lang w:val="ro-RO"/>
    </w:rPr>
  </w:style>
  <w:style w:type="character" w:customStyle="1" w:styleId="Heading7Char">
    <w:name w:val="Heading 7 Char"/>
    <w:basedOn w:val="DefaultParagraphFont"/>
    <w:link w:val="Heading7"/>
    <w:uiPriority w:val="9"/>
    <w:semiHidden/>
    <w:rsid w:val="00CE140B"/>
    <w:rPr>
      <w:rFonts w:asciiTheme="majorHAnsi" w:eastAsiaTheme="majorEastAsia" w:hAnsiTheme="majorHAnsi" w:cstheme="majorBidi"/>
      <w:i/>
      <w:iCs/>
      <w:noProof/>
      <w:color w:val="404040" w:themeColor="text1" w:themeTint="BF"/>
      <w:lang w:val="ro-RO"/>
    </w:rPr>
  </w:style>
  <w:style w:type="character" w:customStyle="1" w:styleId="Heading8Char">
    <w:name w:val="Heading 8 Char"/>
    <w:basedOn w:val="DefaultParagraphFont"/>
    <w:link w:val="Heading8"/>
    <w:uiPriority w:val="9"/>
    <w:semiHidden/>
    <w:rsid w:val="00CE140B"/>
    <w:rPr>
      <w:rFonts w:asciiTheme="majorHAnsi" w:eastAsiaTheme="majorEastAsia" w:hAnsiTheme="majorHAnsi" w:cstheme="majorBidi"/>
      <w:noProof/>
      <w:color w:val="404040" w:themeColor="text1" w:themeTint="BF"/>
      <w:sz w:val="20"/>
      <w:szCs w:val="20"/>
      <w:lang w:val="ro-RO"/>
    </w:rPr>
  </w:style>
  <w:style w:type="character" w:customStyle="1" w:styleId="Heading9Char">
    <w:name w:val="Heading 9 Char"/>
    <w:basedOn w:val="DefaultParagraphFont"/>
    <w:link w:val="Heading9"/>
    <w:uiPriority w:val="9"/>
    <w:semiHidden/>
    <w:rsid w:val="00CE140B"/>
    <w:rPr>
      <w:rFonts w:asciiTheme="majorHAnsi" w:eastAsiaTheme="majorEastAsia" w:hAnsiTheme="majorHAnsi" w:cstheme="majorBidi"/>
      <w:i/>
      <w:iCs/>
      <w:noProof/>
      <w:color w:val="404040" w:themeColor="text1" w:themeTint="BF"/>
      <w:sz w:val="20"/>
      <w:szCs w:val="20"/>
      <w:lang w:val="ro-RO"/>
    </w:rPr>
  </w:style>
  <w:style w:type="table" w:styleId="TableGridLight">
    <w:name w:val="Grid Table Light"/>
    <w:basedOn w:val="TableNormal"/>
    <w:uiPriority w:val="40"/>
    <w:rsid w:val="00CE140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Radulescu</dc:creator>
  <cp:keywords/>
  <dc:description/>
  <cp:lastModifiedBy>Manuela Radulescu</cp:lastModifiedBy>
  <cp:revision>7</cp:revision>
  <dcterms:created xsi:type="dcterms:W3CDTF">2022-10-04T11:00:00Z</dcterms:created>
  <dcterms:modified xsi:type="dcterms:W3CDTF">2022-10-05T14:27:00Z</dcterms:modified>
</cp:coreProperties>
</file>