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6ACB4" w14:textId="77777777" w:rsidR="00576CC4" w:rsidRDefault="00576CC4"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0B2068B6" w14:textId="77777777" w:rsidR="00576CC4" w:rsidRDefault="00576CC4"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2B3FDA37" w14:textId="77777777" w:rsidR="00576CC4" w:rsidRDefault="00576CC4"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2FB33514" w14:textId="0356225F" w:rsidR="00982F23" w:rsidRPr="00576CC4" w:rsidRDefault="00C36DB2" w:rsidP="00FA2190">
      <w:pPr>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ANEXA 1</w:t>
      </w:r>
      <w:r w:rsidR="006B5F46">
        <w:rPr>
          <w:rFonts w:asciiTheme="majorBidi" w:hAnsiTheme="majorBidi" w:cstheme="majorBidi"/>
          <w:bCs/>
          <w:sz w:val="22"/>
          <w:szCs w:val="22"/>
        </w:rPr>
        <w:t>5</w:t>
      </w:r>
      <w:r w:rsidRPr="00576CC4">
        <w:rPr>
          <w:rFonts w:asciiTheme="majorBidi" w:hAnsiTheme="majorBidi" w:cstheme="majorBidi"/>
          <w:bCs/>
          <w:sz w:val="22"/>
          <w:szCs w:val="22"/>
        </w:rPr>
        <w:t xml:space="preserve"> (formular)</w:t>
      </w:r>
    </w:p>
    <w:p w14:paraId="5253CEF6" w14:textId="77777777"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121FBCB4" w14:textId="77777777"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4C79846B" w14:textId="77777777"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09081A42" w14:textId="6CD9DDC0" w:rsidR="00982F23" w:rsidRDefault="00982F23" w:rsidP="0069659D">
      <w:pPr>
        <w:pBdr>
          <w:top w:val="nil"/>
          <w:left w:val="nil"/>
          <w:bottom w:val="nil"/>
          <w:right w:val="nil"/>
          <w:between w:val="nil"/>
        </w:pBdr>
        <w:spacing w:line="276" w:lineRule="auto"/>
        <w:jc w:val="center"/>
        <w:rPr>
          <w:rFonts w:asciiTheme="majorBidi" w:hAnsiTheme="majorBidi" w:cstheme="majorBidi"/>
          <w:bCs/>
          <w:sz w:val="22"/>
          <w:szCs w:val="22"/>
        </w:rPr>
      </w:pPr>
      <w:r w:rsidRPr="00576CC4">
        <w:rPr>
          <w:rFonts w:asciiTheme="majorBidi" w:hAnsiTheme="majorBidi" w:cstheme="majorBidi"/>
          <w:bCs/>
          <w:sz w:val="22"/>
          <w:szCs w:val="22"/>
        </w:rPr>
        <w:t>CONTRACT DE FINANȚARE</w:t>
      </w:r>
    </w:p>
    <w:p w14:paraId="7D1D09A1" w14:textId="5E07617E"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5C34104A" w14:textId="77777777" w:rsidR="00576CC4" w:rsidRP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4628CEDB" w14:textId="77777777" w:rsidR="00982F23" w:rsidRPr="00576CC4"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Părţile:</w:t>
      </w:r>
    </w:p>
    <w:p w14:paraId="3D48FA85" w14:textId="05F757D1" w:rsidR="001C1B4A" w:rsidRPr="00576CC4" w:rsidRDefault="001C1B4A">
      <w:pPr>
        <w:pStyle w:val="ListParagraph"/>
        <w:numPr>
          <w:ilvl w:val="0"/>
          <w:numId w:val="18"/>
        </w:numPr>
        <w:ind w:left="360" w:hanging="360"/>
        <w:jc w:val="both"/>
        <w:rPr>
          <w:rFonts w:asciiTheme="majorBidi" w:hAnsiTheme="majorBidi" w:cstheme="majorBidi"/>
          <w:sz w:val="22"/>
          <w:szCs w:val="22"/>
        </w:rPr>
      </w:pPr>
      <w:r w:rsidRPr="00576CC4">
        <w:rPr>
          <w:rFonts w:asciiTheme="majorBidi" w:hAnsiTheme="majorBidi" w:cstheme="majorBidi"/>
          <w:sz w:val="22"/>
          <w:szCs w:val="22"/>
        </w:rPr>
        <w:t xml:space="preserve">Pe de o parte, în </w:t>
      </w:r>
      <w:r w:rsidRPr="00576CC4">
        <w:rPr>
          <w:rFonts w:asciiTheme="majorBidi" w:hAnsiTheme="majorBidi" w:cstheme="majorBidi"/>
          <w:iCs/>
          <w:sz w:val="22"/>
          <w:szCs w:val="22"/>
        </w:rPr>
        <w:t xml:space="preserve">calitate de </w:t>
      </w:r>
      <w:r w:rsidRPr="00576CC4">
        <w:rPr>
          <w:rFonts w:asciiTheme="majorBidi" w:hAnsiTheme="majorBidi" w:cstheme="majorBidi"/>
          <w:b/>
          <w:bCs/>
          <w:iCs/>
          <w:sz w:val="22"/>
          <w:szCs w:val="22"/>
        </w:rPr>
        <w:t>coordonator de reforme și/sau investiții, responsabil pentru Componenta C15 – Educație a Planului Național de Redresare și Reziliență (PNRR) și finanțator pentru</w:t>
      </w:r>
      <w:r w:rsidR="00C4284E" w:rsidRPr="00576CC4">
        <w:rPr>
          <w:rFonts w:asciiTheme="majorBidi" w:hAnsiTheme="majorBidi" w:cstheme="majorBidi"/>
          <w:b/>
          <w:bCs/>
          <w:iCs/>
          <w:sz w:val="22"/>
          <w:szCs w:val="22"/>
        </w:rPr>
        <w:t xml:space="preserve"> apelul</w:t>
      </w:r>
      <w:r w:rsidR="009A20CA">
        <w:rPr>
          <w:rFonts w:asciiTheme="majorBidi" w:eastAsia="Arial Narrow" w:hAnsiTheme="majorBidi" w:cstheme="majorBidi"/>
          <w:sz w:val="22"/>
          <w:szCs w:val="22"/>
        </w:rPr>
        <w:t xml:space="preserve"> </w:t>
      </w:r>
      <w:r w:rsidR="006B5F46" w:rsidRPr="006B5F46">
        <w:rPr>
          <w:rFonts w:asciiTheme="majorBidi" w:eastAsia="Arial Narrow" w:hAnsiTheme="majorBidi" w:cstheme="majorBidi"/>
          <w:i/>
          <w:iCs/>
          <w:sz w:val="22"/>
          <w:szCs w:val="22"/>
        </w:rPr>
        <w:t>Construirea și dezvoltarea unei rețele-pilot de școli verzi</w:t>
      </w:r>
      <w:r w:rsidRPr="00576CC4">
        <w:rPr>
          <w:rFonts w:asciiTheme="majorBidi" w:hAnsiTheme="majorBidi" w:cstheme="majorBidi"/>
          <w:b/>
          <w:bCs/>
          <w:iCs/>
          <w:sz w:val="22"/>
          <w:szCs w:val="22"/>
        </w:rPr>
        <w:t>:</w:t>
      </w:r>
    </w:p>
    <w:p w14:paraId="67948763" w14:textId="77777777" w:rsidR="00A27AA3" w:rsidRDefault="001C1B4A" w:rsidP="00A27AA3">
      <w:pPr>
        <w:pStyle w:val="ListParagraph"/>
        <w:ind w:left="360"/>
        <w:jc w:val="both"/>
        <w:rPr>
          <w:rFonts w:asciiTheme="majorBidi" w:hAnsiTheme="majorBidi" w:cstheme="majorBidi"/>
          <w:sz w:val="22"/>
          <w:szCs w:val="22"/>
        </w:rPr>
      </w:pPr>
      <w:r w:rsidRPr="00576CC4">
        <w:rPr>
          <w:rFonts w:asciiTheme="majorBidi" w:hAnsiTheme="majorBidi" w:cstheme="majorBidi"/>
          <w:b/>
          <w:bCs/>
          <w:sz w:val="22"/>
          <w:szCs w:val="22"/>
        </w:rPr>
        <w:t>Ministerul Educației</w:t>
      </w:r>
      <w:r w:rsidRPr="00576CC4">
        <w:rPr>
          <w:rFonts w:asciiTheme="majorBidi" w:hAnsiTheme="majorBidi" w:cstheme="majorBidi"/>
          <w:sz w:val="22"/>
          <w:szCs w:val="22"/>
        </w:rPr>
        <w:t xml:space="preserve">, denumit în continuare </w:t>
      </w:r>
      <w:r w:rsidRPr="00576CC4">
        <w:rPr>
          <w:rFonts w:asciiTheme="majorBidi" w:hAnsiTheme="majorBidi" w:cstheme="majorBidi"/>
          <w:b/>
          <w:bCs/>
          <w:sz w:val="22"/>
          <w:szCs w:val="22"/>
        </w:rPr>
        <w:t>ME</w:t>
      </w:r>
      <w:r w:rsidRPr="00576CC4">
        <w:rPr>
          <w:rFonts w:asciiTheme="majorBidi" w:hAnsiTheme="majorBidi" w:cstheme="majorBidi"/>
          <w:sz w:val="22"/>
          <w:szCs w:val="22"/>
        </w:rPr>
        <w:t xml:space="preserve">, </w:t>
      </w:r>
      <w:r w:rsidRPr="00576CC4">
        <w:rPr>
          <w:rFonts w:asciiTheme="majorBidi" w:hAnsiTheme="majorBidi" w:cstheme="majorBidi"/>
          <w:iCs/>
          <w:sz w:val="22"/>
          <w:szCs w:val="22"/>
        </w:rPr>
        <w:t>cu</w:t>
      </w:r>
      <w:r w:rsidRPr="00576CC4">
        <w:rPr>
          <w:rFonts w:asciiTheme="majorBidi" w:hAnsiTheme="majorBidi" w:cstheme="majorBidi"/>
          <w:sz w:val="22"/>
          <w:szCs w:val="22"/>
        </w:rPr>
        <w:t xml:space="preserve"> sediul în București, str. General Berthelot nr. 28-30, sector 1, cod poștal 010168, telefon 021/405.62.00, fax 021 312 4719, e-mail cabinet.ministru@edu.gov.ro, reprezentat legal prin</w:t>
      </w:r>
      <w:r w:rsidR="009A20CA">
        <w:rPr>
          <w:rFonts w:asciiTheme="majorBidi" w:hAnsiTheme="majorBidi" w:cstheme="majorBidi"/>
          <w:sz w:val="22"/>
          <w:szCs w:val="22"/>
        </w:rPr>
        <w:t>.............</w:t>
      </w:r>
      <w:r w:rsidRPr="00576CC4">
        <w:rPr>
          <w:rFonts w:asciiTheme="majorBidi" w:hAnsiTheme="majorBidi" w:cstheme="majorBidi"/>
          <w:sz w:val="22"/>
          <w:szCs w:val="22"/>
        </w:rPr>
        <w:t xml:space="preserve">, ministru, </w:t>
      </w:r>
    </w:p>
    <w:p w14:paraId="48ECAF6D" w14:textId="77777777" w:rsidR="00A27AA3" w:rsidRDefault="00A27AA3" w:rsidP="00A27AA3">
      <w:pPr>
        <w:pStyle w:val="ListParagraph"/>
        <w:ind w:left="360"/>
        <w:jc w:val="both"/>
        <w:rPr>
          <w:rFonts w:asciiTheme="majorBidi" w:hAnsiTheme="majorBidi" w:cstheme="majorBidi"/>
          <w:sz w:val="22"/>
          <w:szCs w:val="22"/>
        </w:rPr>
      </w:pPr>
    </w:p>
    <w:p w14:paraId="554B0794" w14:textId="3B12B16E" w:rsidR="001C1B4A" w:rsidRDefault="001C1B4A" w:rsidP="00A27AA3">
      <w:pPr>
        <w:pStyle w:val="ListParagraph"/>
        <w:ind w:left="360"/>
        <w:jc w:val="both"/>
        <w:rPr>
          <w:rFonts w:asciiTheme="majorBidi" w:hAnsiTheme="majorBidi" w:cstheme="majorBidi"/>
          <w:sz w:val="22"/>
          <w:szCs w:val="22"/>
        </w:rPr>
      </w:pPr>
      <w:r w:rsidRPr="00576CC4">
        <w:rPr>
          <w:rFonts w:asciiTheme="majorBidi" w:hAnsiTheme="majorBidi" w:cstheme="majorBidi"/>
          <w:sz w:val="22"/>
          <w:szCs w:val="22"/>
        </w:rPr>
        <w:t>precum și</w:t>
      </w:r>
    </w:p>
    <w:p w14:paraId="572D91B7" w14:textId="77777777" w:rsidR="00A27AA3" w:rsidRPr="00576CC4" w:rsidRDefault="00A27AA3" w:rsidP="00A27AA3">
      <w:pPr>
        <w:pStyle w:val="ListParagraph"/>
        <w:ind w:left="360"/>
        <w:jc w:val="both"/>
        <w:rPr>
          <w:rFonts w:asciiTheme="majorBidi" w:hAnsiTheme="majorBidi" w:cstheme="majorBidi"/>
          <w:sz w:val="22"/>
          <w:szCs w:val="22"/>
        </w:rPr>
      </w:pPr>
    </w:p>
    <w:p w14:paraId="3A6E93E1" w14:textId="77777777" w:rsidR="001C1B4A" w:rsidRPr="00576CC4" w:rsidRDefault="001C1B4A">
      <w:pPr>
        <w:pStyle w:val="ListParagraph"/>
        <w:numPr>
          <w:ilvl w:val="0"/>
          <w:numId w:val="18"/>
        </w:numPr>
        <w:ind w:left="360" w:hanging="360"/>
        <w:jc w:val="both"/>
        <w:rPr>
          <w:rFonts w:asciiTheme="majorBidi" w:hAnsiTheme="majorBidi" w:cstheme="majorBidi"/>
          <w:noProof/>
          <w:sz w:val="22"/>
          <w:szCs w:val="22"/>
        </w:rPr>
      </w:pPr>
      <w:r w:rsidRPr="00576CC4">
        <w:rPr>
          <w:rFonts w:asciiTheme="majorBidi" w:hAnsiTheme="majorBidi" w:cstheme="majorBidi"/>
          <w:noProof/>
          <w:sz w:val="22"/>
          <w:szCs w:val="22"/>
        </w:rPr>
        <w:t xml:space="preserve">pe de altă parte, în calitate de beneficiar al finanțării, denumit în continuare </w:t>
      </w:r>
      <w:r w:rsidRPr="00576CC4">
        <w:rPr>
          <w:rFonts w:asciiTheme="majorBidi" w:hAnsiTheme="majorBidi" w:cstheme="majorBidi"/>
          <w:b/>
          <w:bCs/>
          <w:noProof/>
          <w:sz w:val="22"/>
          <w:szCs w:val="22"/>
        </w:rPr>
        <w:t>Beneficiar</w:t>
      </w:r>
      <w:r w:rsidRPr="00576CC4">
        <w:rPr>
          <w:rFonts w:asciiTheme="majorBidi" w:hAnsiTheme="majorBidi" w:cstheme="majorBidi"/>
          <w:noProof/>
          <w:sz w:val="22"/>
          <w:szCs w:val="22"/>
        </w:rPr>
        <w:t>:</w:t>
      </w:r>
    </w:p>
    <w:p w14:paraId="3F2BF3C8" w14:textId="67640027" w:rsidR="001C1B4A" w:rsidRPr="00576CC4" w:rsidRDefault="001C1B4A">
      <w:pPr>
        <w:pStyle w:val="ListParagraph"/>
        <w:widowControl/>
        <w:numPr>
          <w:ilvl w:val="0"/>
          <w:numId w:val="19"/>
        </w:numPr>
        <w:tabs>
          <w:tab w:val="left" w:pos="360"/>
        </w:tabs>
        <w:autoSpaceDE w:val="0"/>
        <w:autoSpaceDN w:val="0"/>
        <w:adjustRightInd w:val="0"/>
        <w:ind w:left="360"/>
        <w:jc w:val="both"/>
        <w:rPr>
          <w:rFonts w:asciiTheme="majorBidi" w:eastAsia="Calibri" w:hAnsiTheme="majorBidi" w:cstheme="majorBidi"/>
          <w:sz w:val="22"/>
          <w:szCs w:val="22"/>
          <w:lang w:eastAsia="en-US"/>
        </w:rPr>
      </w:pPr>
      <w:r w:rsidRPr="00576CC4">
        <w:rPr>
          <w:rFonts w:asciiTheme="majorBidi" w:hAnsiTheme="majorBidi" w:cstheme="majorBidi"/>
          <w:sz w:val="22"/>
          <w:szCs w:val="22"/>
        </w:rPr>
        <w:t>……….………………….......................... cu sediul în ……..............................………………, cod poștal ……………, tel: ……………, fax: ………………, e-mail: ……………......………, cod fiscal</w:t>
      </w:r>
      <w:r w:rsidRPr="00576CC4">
        <w:rPr>
          <w:rStyle w:val="FootnoteReference"/>
          <w:rFonts w:asciiTheme="majorBidi" w:hAnsiTheme="majorBidi" w:cstheme="majorBidi"/>
          <w:sz w:val="22"/>
          <w:szCs w:val="22"/>
        </w:rPr>
        <w:footnoteReference w:id="1"/>
      </w:r>
      <w:r w:rsidRPr="00576CC4">
        <w:rPr>
          <w:rFonts w:asciiTheme="majorBidi" w:hAnsiTheme="majorBidi" w:cstheme="majorBidi"/>
          <w:sz w:val="22"/>
          <w:szCs w:val="22"/>
        </w:rPr>
        <w:t xml:space="preserve"> …………….., cont bancar IBAN: …….......................................……………., deschis la Trezoreria …………….........…, reprezentată prin ....................................................., rector, în calitate de,</w:t>
      </w:r>
    </w:p>
    <w:p w14:paraId="7B46C2FF" w14:textId="77777777" w:rsidR="00982F23" w:rsidRPr="00576CC4"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p>
    <w:p w14:paraId="64B3B4CF" w14:textId="77777777" w:rsidR="00982F23" w:rsidRPr="00576CC4" w:rsidRDefault="00982F23" w:rsidP="00FA2190">
      <w:pPr>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Interpretarea termenilor</w:t>
      </w:r>
    </w:p>
    <w:p w14:paraId="5D2C52EC" w14:textId="128C4581" w:rsidR="00982F23" w:rsidRPr="00576CC4" w:rsidRDefault="00982F23">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 xml:space="preserve">În prezentul contract, termenul „zi” reprezintă zi </w:t>
      </w:r>
      <w:r w:rsidR="006B5F46">
        <w:rPr>
          <w:rFonts w:asciiTheme="majorBidi" w:hAnsiTheme="majorBidi" w:cstheme="majorBidi"/>
          <w:bCs/>
          <w:sz w:val="22"/>
          <w:szCs w:val="22"/>
        </w:rPr>
        <w:t>lucrătoare</w:t>
      </w:r>
      <w:r w:rsidRPr="00576CC4">
        <w:rPr>
          <w:rFonts w:asciiTheme="majorBidi" w:hAnsiTheme="majorBidi" w:cstheme="majorBidi"/>
          <w:bCs/>
          <w:sz w:val="22"/>
          <w:szCs w:val="22"/>
        </w:rPr>
        <w:t xml:space="preserve"> dacă nu se specifică altfel.</w:t>
      </w:r>
    </w:p>
    <w:p w14:paraId="08760CE4" w14:textId="77777777" w:rsidR="00982F23" w:rsidRPr="00576CC4" w:rsidRDefault="00982F23">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Referințele la orice acte normative, se consideră că fac trimitere la cele prezentate în acest Contract și la orice acte normative subsecvente prin care acestea sunt modificate.</w:t>
      </w:r>
    </w:p>
    <w:p w14:paraId="33D9428C" w14:textId="2A1EF5C3" w:rsidR="00982F23" w:rsidRPr="00576CC4" w:rsidRDefault="00BB7F06">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Finanțarea</w:t>
      </w:r>
      <w:r w:rsidR="00982F23" w:rsidRPr="00576CC4">
        <w:rPr>
          <w:rFonts w:asciiTheme="majorBidi" w:hAnsiTheme="majorBidi" w:cstheme="majorBidi"/>
          <w:bCs/>
          <w:sz w:val="22"/>
          <w:szCs w:val="22"/>
        </w:rPr>
        <w:t xml:space="preserve"> nerambursabilă acordată Beneficiarului este stabilită în termenii </w:t>
      </w:r>
      <w:r w:rsidRPr="00576CC4">
        <w:rPr>
          <w:rFonts w:asciiTheme="majorBidi" w:hAnsiTheme="majorBidi" w:cstheme="majorBidi"/>
          <w:bCs/>
          <w:sz w:val="22"/>
          <w:szCs w:val="22"/>
        </w:rPr>
        <w:t>și</w:t>
      </w:r>
      <w:r w:rsidR="00982F23"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condițiile</w:t>
      </w:r>
      <w:r w:rsidR="00982F23" w:rsidRPr="00576CC4">
        <w:rPr>
          <w:rFonts w:asciiTheme="majorBidi" w:hAnsiTheme="majorBidi" w:cstheme="majorBidi"/>
          <w:bCs/>
          <w:sz w:val="22"/>
          <w:szCs w:val="22"/>
        </w:rPr>
        <w:t xml:space="preserve"> prezentului Contract de finanțare.</w:t>
      </w:r>
    </w:p>
    <w:p w14:paraId="30DAC5C8" w14:textId="6B91F1C5" w:rsidR="00982F23" w:rsidRPr="00576CC4" w:rsidRDefault="00982F23">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În cadrul prezentului Contract, finanțarea nerambursabilă acordată Beneficiarului este denumită "grant".</w:t>
      </w:r>
    </w:p>
    <w:p w14:paraId="53E26A17" w14:textId="10F70284" w:rsidR="00982F23" w:rsidRPr="00576CC4" w:rsidRDefault="00982F23">
      <w:pPr>
        <w:widowControl/>
        <w:numPr>
          <w:ilvl w:val="0"/>
          <w:numId w:val="10"/>
        </w:numPr>
        <w:pBdr>
          <w:top w:val="nil"/>
          <w:left w:val="nil"/>
          <w:bottom w:val="nil"/>
          <w:right w:val="nil"/>
          <w:between w:val="nil"/>
        </w:pBdr>
        <w:shd w:val="clear" w:color="auto" w:fill="FFFFFF"/>
        <w:ind w:left="360"/>
        <w:jc w:val="both"/>
        <w:rPr>
          <w:rFonts w:asciiTheme="majorBidi" w:hAnsiTheme="majorBidi" w:cstheme="majorBidi"/>
          <w:bCs/>
          <w:sz w:val="22"/>
          <w:szCs w:val="22"/>
        </w:rPr>
      </w:pPr>
      <w:r w:rsidRPr="00576CC4">
        <w:rPr>
          <w:rFonts w:asciiTheme="majorBidi" w:hAnsiTheme="majorBidi" w:cstheme="majorBidi"/>
          <w:bCs/>
          <w:sz w:val="22"/>
          <w:szCs w:val="22"/>
        </w:rPr>
        <w:t xml:space="preserve">În cadrul prezentului Contract, Cererea de finanțare, cu toate Anexele depuse de Beneficiar și aprobate ca urmare a procesului de evaluare și selecție în cadrul </w:t>
      </w:r>
      <w:r w:rsidR="00085083" w:rsidRPr="00576CC4">
        <w:rPr>
          <w:rFonts w:asciiTheme="majorBidi" w:hAnsiTheme="majorBidi" w:cstheme="majorBidi"/>
          <w:bCs/>
          <w:sz w:val="22"/>
          <w:szCs w:val="22"/>
        </w:rPr>
        <w:t>apelului</w:t>
      </w:r>
      <w:r w:rsidRPr="00576CC4">
        <w:rPr>
          <w:rFonts w:asciiTheme="majorBidi" w:hAnsiTheme="majorBidi" w:cstheme="majorBidi"/>
          <w:bCs/>
          <w:sz w:val="22"/>
          <w:szCs w:val="22"/>
        </w:rPr>
        <w:t>, conform instrucțiunilor din Ghidul apelului de proiecte, este denumită "Proiect "</w:t>
      </w:r>
    </w:p>
    <w:p w14:paraId="300CC56E" w14:textId="77777777" w:rsidR="00982F23" w:rsidRPr="00576CC4" w:rsidRDefault="00982F23" w:rsidP="00FA2190">
      <w:pPr>
        <w:pBdr>
          <w:top w:val="nil"/>
          <w:left w:val="nil"/>
          <w:bottom w:val="nil"/>
          <w:right w:val="nil"/>
          <w:between w:val="nil"/>
        </w:pBdr>
        <w:spacing w:line="276" w:lineRule="auto"/>
        <w:ind w:left="113"/>
        <w:jc w:val="both"/>
        <w:rPr>
          <w:rFonts w:asciiTheme="majorBidi" w:hAnsiTheme="majorBidi" w:cstheme="majorBidi"/>
          <w:bCs/>
          <w:sz w:val="22"/>
          <w:szCs w:val="22"/>
        </w:rPr>
      </w:pPr>
    </w:p>
    <w:p w14:paraId="74FED4F7"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1 - Obiectul contractului</w:t>
      </w:r>
    </w:p>
    <w:p w14:paraId="5B5692C5" w14:textId="6D51DF1E" w:rsidR="00273109" w:rsidRPr="00576CC4" w:rsidRDefault="001C1B4A" w:rsidP="006B5F46">
      <w:pPr>
        <w:pStyle w:val="ListParagraph"/>
        <w:widowControl/>
        <w:numPr>
          <w:ilvl w:val="0"/>
          <w:numId w:val="13"/>
        </w:numPr>
        <w:jc w:val="both"/>
        <w:rPr>
          <w:rFonts w:asciiTheme="majorBidi" w:eastAsia="Arial Narrow" w:hAnsiTheme="majorBidi" w:cstheme="majorBidi"/>
          <w:i/>
          <w:iCs/>
          <w:sz w:val="22"/>
          <w:szCs w:val="22"/>
        </w:rPr>
      </w:pPr>
      <w:r w:rsidRPr="00576CC4">
        <w:rPr>
          <w:rFonts w:asciiTheme="majorBidi" w:hAnsiTheme="majorBidi" w:cstheme="majorBidi"/>
          <w:sz w:val="22"/>
          <w:szCs w:val="22"/>
        </w:rPr>
        <w:t xml:space="preserve">Obiectul acestui Contract îl reprezintă finanțarea Proiectului cu titlul </w:t>
      </w:r>
      <w:r w:rsidRPr="00576CC4">
        <w:rPr>
          <w:rFonts w:asciiTheme="majorBidi" w:hAnsiTheme="majorBidi" w:cstheme="majorBidi"/>
          <w:i/>
          <w:iCs/>
          <w:sz w:val="22"/>
          <w:szCs w:val="22"/>
        </w:rPr>
        <w:t>„................................”</w:t>
      </w:r>
      <w:r w:rsidRPr="00576CC4">
        <w:rPr>
          <w:rFonts w:asciiTheme="majorBidi" w:hAnsiTheme="majorBidi" w:cstheme="majorBidi"/>
          <w:sz w:val="22"/>
          <w:szCs w:val="22"/>
        </w:rPr>
        <w:t xml:space="preserve">, cod ...................., acordată Beneficiarului de către Ministerul Educației, în cadrul </w:t>
      </w:r>
      <w:bookmarkStart w:id="0" w:name="_Hlk119575545"/>
      <w:r w:rsidR="001648F8" w:rsidRPr="00576CC4">
        <w:rPr>
          <w:rFonts w:asciiTheme="majorBidi" w:hAnsiTheme="majorBidi" w:cstheme="majorBidi"/>
          <w:sz w:val="22"/>
          <w:szCs w:val="22"/>
        </w:rPr>
        <w:t>apelului ”</w:t>
      </w:r>
      <w:bookmarkEnd w:id="0"/>
      <w:r w:rsidR="006B5F46" w:rsidRPr="006B5F46">
        <w:t xml:space="preserve"> </w:t>
      </w:r>
      <w:r w:rsidR="006B5F46" w:rsidRPr="006B5F46">
        <w:rPr>
          <w:rFonts w:asciiTheme="majorBidi" w:eastAsia="Arial Narrow" w:hAnsiTheme="majorBidi" w:cstheme="majorBidi"/>
          <w:i/>
          <w:iCs/>
          <w:sz w:val="22"/>
          <w:szCs w:val="22"/>
        </w:rPr>
        <w:t>Construirea și dezvoltarea unei rețele-pilot de școli verzi</w:t>
      </w:r>
      <w:r w:rsidR="001648F8" w:rsidRPr="00576CC4">
        <w:rPr>
          <w:rFonts w:asciiTheme="majorBidi" w:eastAsia="Arial Narrow" w:hAnsiTheme="majorBidi" w:cstheme="majorBidi"/>
          <w:sz w:val="22"/>
          <w:szCs w:val="22"/>
        </w:rPr>
        <w:t>”</w:t>
      </w:r>
      <w:r w:rsidRPr="00576CC4">
        <w:rPr>
          <w:rFonts w:asciiTheme="majorBidi" w:hAnsiTheme="majorBidi" w:cstheme="majorBidi"/>
          <w:sz w:val="22"/>
          <w:szCs w:val="22"/>
        </w:rPr>
        <w:t xml:space="preserve">, prin </w:t>
      </w:r>
      <w:r w:rsidR="001648F8" w:rsidRPr="00576CC4">
        <w:rPr>
          <w:rFonts w:asciiTheme="majorBidi" w:eastAsia="Arial Narrow" w:hAnsiTheme="majorBidi" w:cstheme="majorBidi"/>
          <w:i/>
          <w:iCs/>
          <w:sz w:val="22"/>
          <w:szCs w:val="22"/>
        </w:rPr>
        <w:t xml:space="preserve">PNRR\ </w:t>
      </w:r>
      <w:r w:rsidR="001648F8" w:rsidRPr="00576CC4">
        <w:rPr>
          <w:rFonts w:asciiTheme="majorBidi" w:hAnsiTheme="majorBidi" w:cstheme="majorBidi"/>
          <w:i/>
          <w:iCs/>
          <w:sz w:val="22"/>
          <w:szCs w:val="22"/>
        </w:rPr>
        <w:t xml:space="preserve">Pilonul VI. Politici pentru noua generație\ </w:t>
      </w:r>
      <w:r w:rsidR="001648F8" w:rsidRPr="00576CC4">
        <w:rPr>
          <w:rFonts w:asciiTheme="majorBidi" w:eastAsia="Arial Narrow" w:hAnsiTheme="majorBidi" w:cstheme="majorBidi"/>
          <w:i/>
          <w:iCs/>
          <w:sz w:val="22"/>
          <w:szCs w:val="22"/>
        </w:rPr>
        <w:t>Componenta C15: Educație \</w:t>
      </w:r>
      <w:r w:rsidR="00273109" w:rsidRPr="00576CC4">
        <w:rPr>
          <w:rFonts w:asciiTheme="majorHAnsi" w:hAnsiTheme="majorHAnsi" w:cstheme="majorHAnsi"/>
          <w:b/>
          <w:bCs/>
        </w:rPr>
        <w:t xml:space="preserve">Reforma </w:t>
      </w:r>
      <w:r w:rsidR="006B5F46" w:rsidRPr="006B5F46">
        <w:rPr>
          <w:rFonts w:ascii="Arial Narrow" w:eastAsia="Arial Narrow" w:hAnsi="Arial Narrow" w:cs="Arial Narrow"/>
          <w:b/>
          <w:color w:val="002060"/>
          <w:position w:val="-1"/>
          <w:sz w:val="22"/>
          <w:szCs w:val="22"/>
          <w:lang w:eastAsia="en-US"/>
        </w:rPr>
        <w:t>6</w:t>
      </w:r>
      <w:r w:rsidR="006B5F46" w:rsidRPr="006B5F46">
        <w:rPr>
          <w:rFonts w:ascii="Arial Narrow" w:eastAsia="Arial Narrow" w:hAnsi="Arial Narrow" w:cs="Arial Narrow"/>
          <w:color w:val="002060"/>
          <w:position w:val="-1"/>
          <w:sz w:val="22"/>
          <w:szCs w:val="22"/>
          <w:lang w:eastAsia="en-US"/>
        </w:rPr>
        <w:t xml:space="preserve">. </w:t>
      </w:r>
      <w:r w:rsidR="006B5F46" w:rsidRPr="006B5F46">
        <w:rPr>
          <w:rFonts w:ascii="Arial Narrow" w:eastAsia="Arial Narrow" w:hAnsi="Arial Narrow" w:cs="Arial Narrow"/>
          <w:i/>
          <w:position w:val="-1"/>
          <w:sz w:val="22"/>
          <w:szCs w:val="22"/>
          <w:lang w:eastAsia="en-US"/>
        </w:rPr>
        <w:t>Actualizarea cadrului legislativ pentru a asigura standarde ecologice de proiectare, construcție și dotare în sistemul de învățământ preuniversitar</w:t>
      </w:r>
      <w:r w:rsidR="006B5F46" w:rsidRPr="006B5F46">
        <w:rPr>
          <w:rFonts w:ascii="Times New Roman" w:eastAsia="Arial Narrow" w:hAnsi="Times New Roman" w:cs="Times New Roman"/>
          <w:i/>
          <w:iCs/>
          <w:sz w:val="22"/>
          <w:szCs w:val="22"/>
        </w:rPr>
        <w:t xml:space="preserve"> </w:t>
      </w:r>
      <w:r w:rsidR="00273109" w:rsidRPr="00576CC4">
        <w:rPr>
          <w:rFonts w:asciiTheme="majorBidi" w:eastAsia="Arial Narrow" w:hAnsiTheme="majorBidi" w:cstheme="majorBidi"/>
          <w:i/>
          <w:iCs/>
          <w:sz w:val="22"/>
          <w:szCs w:val="22"/>
        </w:rPr>
        <w:t>\Investiția 1</w:t>
      </w:r>
      <w:r w:rsidR="006B5F46">
        <w:rPr>
          <w:rFonts w:asciiTheme="majorBidi" w:eastAsia="Arial Narrow" w:hAnsiTheme="majorBidi" w:cstheme="majorBidi"/>
          <w:i/>
          <w:iCs/>
          <w:sz w:val="22"/>
          <w:szCs w:val="22"/>
        </w:rPr>
        <w:t>0</w:t>
      </w:r>
      <w:r w:rsidR="00273109" w:rsidRPr="00576CC4">
        <w:rPr>
          <w:rFonts w:asciiTheme="majorBidi" w:eastAsia="Arial Narrow" w:hAnsiTheme="majorBidi" w:cstheme="majorBidi"/>
          <w:i/>
          <w:iCs/>
          <w:sz w:val="22"/>
          <w:szCs w:val="22"/>
        </w:rPr>
        <w:t xml:space="preserve">. </w:t>
      </w:r>
      <w:r w:rsidR="006B5F46" w:rsidRPr="006B5F46">
        <w:rPr>
          <w:rFonts w:asciiTheme="majorBidi" w:eastAsia="Arial Narrow" w:hAnsiTheme="majorBidi" w:cstheme="majorBidi"/>
          <w:i/>
          <w:iCs/>
          <w:sz w:val="22"/>
          <w:szCs w:val="22"/>
        </w:rPr>
        <w:t>Dezvoltarea rețelei de școli verzi și achiziționarea de microbuze verzi</w:t>
      </w:r>
      <w:r w:rsidR="006B5F46">
        <w:rPr>
          <w:rFonts w:asciiTheme="majorBidi" w:eastAsia="Arial Narrow" w:hAnsiTheme="majorBidi" w:cstheme="majorBidi"/>
          <w:i/>
          <w:iCs/>
          <w:sz w:val="22"/>
          <w:szCs w:val="22"/>
        </w:rPr>
        <w:t>.</w:t>
      </w:r>
      <w:r w:rsidR="006B5F46" w:rsidRPr="006B5F46">
        <w:rPr>
          <w:rFonts w:asciiTheme="majorBidi" w:eastAsia="Arial Narrow" w:hAnsiTheme="majorBidi" w:cstheme="majorBidi"/>
          <w:i/>
          <w:iCs/>
          <w:sz w:val="22"/>
          <w:szCs w:val="22"/>
        </w:rPr>
        <w:t xml:space="preserve"> </w:t>
      </w:r>
    </w:p>
    <w:p w14:paraId="10D9AADB" w14:textId="7D4DEB81" w:rsidR="00982F23" w:rsidRPr="00576CC4" w:rsidRDefault="001C1B4A">
      <w:pPr>
        <w:pStyle w:val="ListParagraph"/>
        <w:widowControl/>
        <w:numPr>
          <w:ilvl w:val="0"/>
          <w:numId w:val="13"/>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lastRenderedPageBreak/>
        <w:t>Finanțarea</w:t>
      </w:r>
      <w:r w:rsidR="00982F23" w:rsidRPr="00576CC4">
        <w:rPr>
          <w:rFonts w:asciiTheme="majorBidi" w:hAnsiTheme="majorBidi" w:cstheme="majorBidi"/>
          <w:bCs/>
          <w:sz w:val="22"/>
          <w:szCs w:val="22"/>
        </w:rPr>
        <w:t xml:space="preserve"> este acordat</w:t>
      </w:r>
      <w:r w:rsidRPr="00576CC4">
        <w:rPr>
          <w:rFonts w:asciiTheme="majorBidi" w:hAnsiTheme="majorBidi" w:cstheme="majorBidi"/>
          <w:bCs/>
          <w:sz w:val="22"/>
          <w:szCs w:val="22"/>
        </w:rPr>
        <w:t>ă</w:t>
      </w:r>
      <w:r w:rsidR="00982F23" w:rsidRPr="00576CC4">
        <w:rPr>
          <w:rFonts w:asciiTheme="majorBidi" w:hAnsiTheme="majorBidi" w:cstheme="majorBidi"/>
          <w:bCs/>
          <w:sz w:val="22"/>
          <w:szCs w:val="22"/>
        </w:rPr>
        <w:t xml:space="preserve"> Beneficiarului în vederea implementării Proiectului cod </w:t>
      </w:r>
      <w:r w:rsidRPr="00576CC4">
        <w:rPr>
          <w:rFonts w:asciiTheme="majorBidi" w:hAnsiTheme="majorBidi" w:cstheme="majorBidi"/>
          <w:bCs/>
          <w:noProof/>
          <w:sz w:val="22"/>
          <w:szCs w:val="22"/>
        </w:rPr>
        <w:t>..........................</w:t>
      </w:r>
      <w:r w:rsidR="00982F23" w:rsidRPr="00576CC4">
        <w:rPr>
          <w:rFonts w:asciiTheme="majorBidi" w:hAnsiTheme="majorBidi" w:cstheme="majorBidi"/>
          <w:bCs/>
          <w:sz w:val="22"/>
          <w:szCs w:val="22"/>
        </w:rPr>
        <w:t xml:space="preserve">, cu titlul „ </w:t>
      </w:r>
      <w:r w:rsidRPr="00576CC4">
        <w:rPr>
          <w:rFonts w:asciiTheme="majorBidi" w:hAnsiTheme="majorBidi" w:cstheme="majorBidi"/>
          <w:bCs/>
          <w:noProof/>
          <w:sz w:val="22"/>
          <w:szCs w:val="22"/>
        </w:rPr>
        <w:t>...................................</w:t>
      </w:r>
      <w:r w:rsidR="00982F23" w:rsidRPr="00576CC4">
        <w:rPr>
          <w:rFonts w:asciiTheme="majorBidi" w:hAnsiTheme="majorBidi" w:cstheme="majorBidi"/>
          <w:bCs/>
          <w:sz w:val="22"/>
          <w:szCs w:val="22"/>
        </w:rPr>
        <w:t xml:space="preserve">” aprobat prin Ordinul ministrului educației nr. </w:t>
      </w:r>
      <w:r w:rsidRPr="00576CC4">
        <w:rPr>
          <w:rFonts w:asciiTheme="majorBidi" w:hAnsiTheme="majorBidi" w:cstheme="majorBidi"/>
          <w:bCs/>
          <w:sz w:val="22"/>
          <w:szCs w:val="22"/>
        </w:rPr>
        <w:t>..................... din data........................</w:t>
      </w:r>
      <w:r w:rsidR="00982F23" w:rsidRPr="00576CC4">
        <w:rPr>
          <w:rFonts w:asciiTheme="majorBidi" w:hAnsiTheme="majorBidi" w:cstheme="majorBidi"/>
          <w:bCs/>
          <w:sz w:val="22"/>
          <w:szCs w:val="22"/>
        </w:rPr>
        <w:t>.</w:t>
      </w:r>
    </w:p>
    <w:p w14:paraId="097C556D" w14:textId="5F4C03A8" w:rsidR="00982F23" w:rsidRPr="00576CC4" w:rsidRDefault="00982F23">
      <w:pPr>
        <w:pStyle w:val="ListParagraph"/>
        <w:widowControl/>
        <w:numPr>
          <w:ilvl w:val="0"/>
          <w:numId w:val="13"/>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se angajează să implementeze Proiectul aprobat în cadrul apelului, în conformitate cu </w:t>
      </w:r>
      <w:r w:rsidR="00BB7F06" w:rsidRPr="00576CC4">
        <w:rPr>
          <w:rFonts w:asciiTheme="majorBidi" w:hAnsiTheme="majorBidi" w:cstheme="majorBidi"/>
          <w:bCs/>
          <w:sz w:val="22"/>
          <w:szCs w:val="22"/>
        </w:rPr>
        <w:t>obligațiile</w:t>
      </w:r>
      <w:r w:rsidRPr="00576CC4">
        <w:rPr>
          <w:rFonts w:asciiTheme="majorBidi" w:hAnsiTheme="majorBidi" w:cstheme="majorBidi"/>
          <w:bCs/>
          <w:sz w:val="22"/>
          <w:szCs w:val="22"/>
        </w:rPr>
        <w:t xml:space="preserve"> asumate prin prezentul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și Anexele acestuia.</w:t>
      </w:r>
    </w:p>
    <w:p w14:paraId="01E5DD1D" w14:textId="77777777" w:rsidR="00982F23" w:rsidRPr="00576CC4" w:rsidRDefault="00982F23">
      <w:pPr>
        <w:pStyle w:val="ListParagraph"/>
        <w:widowControl/>
        <w:numPr>
          <w:ilvl w:val="0"/>
          <w:numId w:val="13"/>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Proiectul menționat devine Anexa nr. 1 la prezentul contract, făcând parte integrantă din acesta.</w:t>
      </w:r>
    </w:p>
    <w:p w14:paraId="6A6062F2" w14:textId="77777777" w:rsidR="00982F23" w:rsidRPr="00576CC4" w:rsidRDefault="00982F23">
      <w:pPr>
        <w:pStyle w:val="ListParagraph"/>
        <w:numPr>
          <w:ilvl w:val="0"/>
          <w:numId w:val="13"/>
        </w:numPr>
        <w:pBdr>
          <w:top w:val="nil"/>
          <w:left w:val="nil"/>
          <w:bottom w:val="nil"/>
          <w:right w:val="nil"/>
          <w:between w:val="nil"/>
        </w:pBdr>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Prezentul Contract, precum și toate drepturile și obligațiile decurgând din implementarea acestuia, nu pot face obiectul cesiunii totale sau parțiale.</w:t>
      </w:r>
    </w:p>
    <w:p w14:paraId="0EC0CDB6"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15A089E6"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2 - Durata contractului și perioada de implementare a proiectului</w:t>
      </w:r>
    </w:p>
    <w:p w14:paraId="4AD6FAAB" w14:textId="3EA3EC66" w:rsidR="00982F23" w:rsidRPr="00576CC4" w:rsidRDefault="00982F23">
      <w:pPr>
        <w:numPr>
          <w:ilvl w:val="0"/>
          <w:numId w:val="1"/>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Contractul intră în vigoare și produce efecte de la data semnării lui de către ultima parte.</w:t>
      </w:r>
    </w:p>
    <w:p w14:paraId="345B6237" w14:textId="69F94223" w:rsidR="00982F23" w:rsidRPr="00576CC4" w:rsidRDefault="00982F23">
      <w:pPr>
        <w:numPr>
          <w:ilvl w:val="0"/>
          <w:numId w:val="1"/>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Data de la care începe implementarea Proiectului este ziua lucrătoare următoare intrării în vigoare a prezentului Contract.</w:t>
      </w:r>
    </w:p>
    <w:p w14:paraId="30D3A7A1" w14:textId="1A6B21FE" w:rsidR="00982F23" w:rsidRPr="00576CC4" w:rsidRDefault="00982F23">
      <w:pPr>
        <w:numPr>
          <w:ilvl w:val="0"/>
          <w:numId w:val="1"/>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Perioada de implementare a Proiectului începe la data menționată la alin. (2) al prezentului articol și se încheie cel mai târziu la data de </w:t>
      </w:r>
      <w:r w:rsidR="001C1B4A"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w:t>
      </w:r>
    </w:p>
    <w:p w14:paraId="42D2A88D"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2698F3A1"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3 - Valoarea Contractului</w:t>
      </w:r>
    </w:p>
    <w:p w14:paraId="54C72920" w14:textId="0DCAE70C"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Valoarea totală acordată în cadrul Contractului de finanțare este de </w:t>
      </w:r>
      <w:r w:rsidR="001C1B4A" w:rsidRPr="00576CC4">
        <w:rPr>
          <w:rFonts w:asciiTheme="majorBidi" w:hAnsiTheme="majorBidi" w:cstheme="majorBidi"/>
          <w:bCs/>
          <w:noProof/>
          <w:sz w:val="22"/>
          <w:szCs w:val="22"/>
        </w:rPr>
        <w:t>......................</w:t>
      </w:r>
      <w:r w:rsidRPr="00576CC4">
        <w:rPr>
          <w:rFonts w:asciiTheme="majorBidi" w:hAnsiTheme="majorBidi" w:cstheme="majorBidi"/>
          <w:bCs/>
          <w:sz w:val="22"/>
          <w:szCs w:val="22"/>
        </w:rPr>
        <w:t xml:space="preserve">, din care valoarea eligibilă din PNRR este în cuantum </w:t>
      </w:r>
      <w:r w:rsidR="001C1B4A"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lei, valoarea TVA aferentă este de </w:t>
      </w:r>
      <w:r w:rsidR="001C1B4A" w:rsidRPr="00576CC4">
        <w:rPr>
          <w:rFonts w:asciiTheme="majorBidi" w:hAnsiTheme="majorBidi" w:cstheme="majorBidi"/>
          <w:bCs/>
          <w:noProof/>
          <w:sz w:val="22"/>
          <w:szCs w:val="22"/>
        </w:rPr>
        <w:t>.............</w:t>
      </w:r>
      <w:r w:rsidRPr="00576CC4">
        <w:rPr>
          <w:rFonts w:asciiTheme="majorBidi" w:hAnsiTheme="majorBidi" w:cstheme="majorBidi"/>
          <w:bCs/>
          <w:sz w:val="22"/>
          <w:szCs w:val="22"/>
        </w:rPr>
        <w:t xml:space="preserve"> lei după cum urmează:</w:t>
      </w:r>
    </w:p>
    <w:tbl>
      <w:tblPr>
        <w:tblW w:w="9790" w:type="dxa"/>
        <w:jc w:val="center"/>
        <w:tblLook w:val="04A0" w:firstRow="1" w:lastRow="0" w:firstColumn="1" w:lastColumn="0" w:noHBand="0" w:noVBand="1"/>
      </w:tblPr>
      <w:tblGrid>
        <w:gridCol w:w="1740"/>
        <w:gridCol w:w="2308"/>
        <w:gridCol w:w="1882"/>
        <w:gridCol w:w="3860"/>
      </w:tblGrid>
      <w:tr w:rsidR="009B0CC9" w:rsidRPr="00576CC4" w14:paraId="480DF0E6" w14:textId="5363D624" w:rsidTr="009B0CC9">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totală (Lei)</w:t>
            </w:r>
          </w:p>
        </w:tc>
        <w:tc>
          <w:tcPr>
            <w:tcW w:w="419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Din care:</w:t>
            </w:r>
          </w:p>
        </w:tc>
        <w:tc>
          <w:tcPr>
            <w:tcW w:w="3860" w:type="dxa"/>
            <w:tcBorders>
              <w:top w:val="single" w:sz="8" w:space="0" w:color="auto"/>
              <w:left w:val="nil"/>
              <w:bottom w:val="single" w:sz="8" w:space="0" w:color="auto"/>
              <w:right w:val="single" w:sz="8" w:space="0" w:color="000000"/>
            </w:tcBorders>
          </w:tcPr>
          <w:p w14:paraId="381AFF51" w14:textId="6DB4465E" w:rsidR="009B0CC9" w:rsidRPr="00576CC4" w:rsidRDefault="009B0CC9" w:rsidP="00FA2190">
            <w:pPr>
              <w:widowControl/>
              <w:jc w:val="both"/>
              <w:rPr>
                <w:rFonts w:asciiTheme="majorBidi" w:eastAsia="Times New Roman" w:hAnsiTheme="majorBidi" w:cstheme="majorBidi"/>
                <w:bCs/>
                <w:sz w:val="22"/>
                <w:szCs w:val="22"/>
                <w:lang w:eastAsia="en-US"/>
              </w:rPr>
            </w:pPr>
          </w:p>
        </w:tc>
      </w:tr>
      <w:tr w:rsidR="009B0CC9" w:rsidRPr="00576CC4" w14:paraId="41EBF5DF" w14:textId="7EC190E7" w:rsidTr="009B0CC9">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c>
          <w:tcPr>
            <w:tcW w:w="2308" w:type="dxa"/>
            <w:tcBorders>
              <w:top w:val="nil"/>
              <w:left w:val="nil"/>
              <w:bottom w:val="single" w:sz="8" w:space="0" w:color="auto"/>
              <w:right w:val="single" w:sz="8" w:space="0" w:color="auto"/>
            </w:tcBorders>
            <w:shd w:val="clear" w:color="auto" w:fill="auto"/>
            <w:vAlign w:val="center"/>
            <w:hideMark/>
          </w:tcPr>
          <w:p w14:paraId="6C6B88C5"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eligibilă nerambursabilă din PNRR (Lei)</w:t>
            </w:r>
          </w:p>
        </w:tc>
        <w:tc>
          <w:tcPr>
            <w:tcW w:w="1882" w:type="dxa"/>
            <w:tcBorders>
              <w:top w:val="nil"/>
              <w:left w:val="nil"/>
              <w:bottom w:val="single" w:sz="8" w:space="0" w:color="auto"/>
              <w:right w:val="single" w:sz="8" w:space="0" w:color="auto"/>
            </w:tcBorders>
            <w:shd w:val="clear" w:color="auto" w:fill="auto"/>
            <w:vAlign w:val="center"/>
            <w:hideMark/>
          </w:tcPr>
          <w:p w14:paraId="746AD7F6"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TVA (Lei)</w:t>
            </w:r>
          </w:p>
        </w:tc>
        <w:tc>
          <w:tcPr>
            <w:tcW w:w="3860" w:type="dxa"/>
            <w:tcBorders>
              <w:top w:val="nil"/>
              <w:left w:val="nil"/>
              <w:bottom w:val="single" w:sz="8" w:space="0" w:color="auto"/>
              <w:right w:val="single" w:sz="8" w:space="0" w:color="auto"/>
            </w:tcBorders>
          </w:tcPr>
          <w:p w14:paraId="62E0DCE3" w14:textId="71C1C303" w:rsidR="009B0CC9" w:rsidRPr="00576CC4" w:rsidRDefault="009B0CC9" w:rsidP="009B0CC9">
            <w:pPr>
              <w:widowControl/>
              <w:jc w:val="center"/>
              <w:rPr>
                <w:rFonts w:asciiTheme="majorBidi" w:eastAsia="Times New Roman" w:hAnsiTheme="majorBidi" w:cstheme="majorBidi"/>
                <w:bCs/>
                <w:sz w:val="22"/>
                <w:szCs w:val="22"/>
                <w:lang w:eastAsia="en-US"/>
              </w:rPr>
            </w:pPr>
            <w:r>
              <w:rPr>
                <w:rFonts w:asciiTheme="majorBidi" w:eastAsia="Times New Roman" w:hAnsiTheme="majorBidi" w:cstheme="majorBidi"/>
                <w:bCs/>
                <w:sz w:val="22"/>
                <w:szCs w:val="22"/>
                <w:lang w:eastAsia="en-US"/>
              </w:rPr>
              <w:t>SUBCOMPONENTA</w:t>
            </w:r>
          </w:p>
        </w:tc>
      </w:tr>
      <w:tr w:rsidR="009B0CC9" w:rsidRPr="00576CC4" w14:paraId="33B33C4C" w14:textId="77777777" w:rsidTr="009B0CC9">
        <w:trPr>
          <w:trHeight w:val="817"/>
          <w:jc w:val="center"/>
        </w:trPr>
        <w:tc>
          <w:tcPr>
            <w:tcW w:w="1740" w:type="dxa"/>
            <w:tcBorders>
              <w:top w:val="nil"/>
              <w:left w:val="single" w:sz="8" w:space="0" w:color="auto"/>
              <w:bottom w:val="single" w:sz="8" w:space="0" w:color="auto"/>
              <w:right w:val="single" w:sz="8" w:space="0" w:color="auto"/>
            </w:tcBorders>
            <w:shd w:val="clear" w:color="auto" w:fill="auto"/>
            <w:vAlign w:val="center"/>
          </w:tcPr>
          <w:p w14:paraId="7532AC1C" w14:textId="3B25AC3F" w:rsidR="009B0CC9" w:rsidRPr="00576CC4" w:rsidRDefault="009B0CC9" w:rsidP="009B0CC9">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308" w:type="dxa"/>
            <w:tcBorders>
              <w:top w:val="nil"/>
              <w:left w:val="nil"/>
              <w:bottom w:val="single" w:sz="8" w:space="0" w:color="auto"/>
              <w:right w:val="single" w:sz="8" w:space="0" w:color="auto"/>
            </w:tcBorders>
            <w:shd w:val="clear" w:color="auto" w:fill="auto"/>
            <w:vAlign w:val="center"/>
          </w:tcPr>
          <w:p w14:paraId="34019C3E" w14:textId="2F4DC83A" w:rsidR="009B0CC9" w:rsidRPr="00576CC4" w:rsidRDefault="009B0CC9" w:rsidP="009B0CC9">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1882" w:type="dxa"/>
            <w:tcBorders>
              <w:top w:val="nil"/>
              <w:left w:val="nil"/>
              <w:bottom w:val="single" w:sz="8" w:space="0" w:color="auto"/>
              <w:right w:val="single" w:sz="8" w:space="0" w:color="auto"/>
            </w:tcBorders>
            <w:shd w:val="clear" w:color="auto" w:fill="auto"/>
            <w:vAlign w:val="center"/>
          </w:tcPr>
          <w:p w14:paraId="3CD3C9EB" w14:textId="560733A8" w:rsidR="009B0CC9" w:rsidRPr="00576CC4" w:rsidRDefault="009B0CC9" w:rsidP="009B0CC9">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3860" w:type="dxa"/>
            <w:tcBorders>
              <w:top w:val="nil"/>
              <w:left w:val="nil"/>
              <w:bottom w:val="single" w:sz="8" w:space="0" w:color="auto"/>
              <w:right w:val="single" w:sz="8" w:space="0" w:color="auto"/>
            </w:tcBorders>
          </w:tcPr>
          <w:p w14:paraId="23F61C95" w14:textId="09B2A2AD" w:rsidR="009B0CC9" w:rsidRPr="00576CC4" w:rsidRDefault="009B0CC9" w:rsidP="009B0CC9">
            <w:pPr>
              <w:widowControl/>
              <w:jc w:val="both"/>
              <w:rPr>
                <w:rFonts w:asciiTheme="majorBidi" w:eastAsia="Times New Roman" w:hAnsiTheme="majorBidi" w:cstheme="majorBidi"/>
                <w:bCs/>
                <w:sz w:val="22"/>
                <w:szCs w:val="22"/>
                <w:lang w:eastAsia="en-US"/>
              </w:rPr>
            </w:pPr>
            <w:r w:rsidRPr="009B0CC9">
              <w:rPr>
                <w:rFonts w:asciiTheme="majorBidi" w:eastAsia="Times New Roman" w:hAnsiTheme="majorBidi" w:cstheme="majorBidi"/>
                <w:bCs/>
                <w:noProof/>
                <w:sz w:val="22"/>
                <w:szCs w:val="22"/>
                <w:lang w:eastAsia="en-US"/>
              </w:rPr>
              <w:t>SUBCOMPONENTA I: D</w:t>
            </w:r>
            <w:r>
              <w:rPr>
                <w:rFonts w:asciiTheme="majorBidi" w:eastAsia="Times New Roman" w:hAnsiTheme="majorBidi" w:cstheme="majorBidi"/>
                <w:bCs/>
                <w:noProof/>
                <w:sz w:val="22"/>
                <w:szCs w:val="22"/>
                <w:lang w:eastAsia="en-US"/>
              </w:rPr>
              <w:t>ezvoltarea</w:t>
            </w:r>
            <w:r w:rsidRPr="009B0CC9">
              <w:rPr>
                <w:rFonts w:asciiTheme="majorBidi" w:eastAsia="Times New Roman" w:hAnsiTheme="majorBidi" w:cstheme="majorBidi"/>
                <w:bCs/>
                <w:noProof/>
                <w:sz w:val="22"/>
                <w:szCs w:val="22"/>
                <w:lang w:eastAsia="en-US"/>
              </w:rPr>
              <w:t xml:space="preserve"> </w:t>
            </w:r>
            <w:r>
              <w:rPr>
                <w:rFonts w:asciiTheme="majorBidi" w:eastAsia="Times New Roman" w:hAnsiTheme="majorBidi" w:cstheme="majorBidi"/>
                <w:bCs/>
                <w:noProof/>
                <w:sz w:val="22"/>
                <w:szCs w:val="22"/>
                <w:lang w:eastAsia="en-US"/>
              </w:rPr>
              <w:t>rețelei</w:t>
            </w:r>
            <w:r w:rsidRPr="009B0CC9">
              <w:rPr>
                <w:rFonts w:asciiTheme="majorBidi" w:eastAsia="Times New Roman" w:hAnsiTheme="majorBidi" w:cstheme="majorBidi"/>
                <w:bCs/>
                <w:noProof/>
                <w:sz w:val="22"/>
                <w:szCs w:val="22"/>
                <w:lang w:eastAsia="en-US"/>
              </w:rPr>
              <w:t xml:space="preserve"> </w:t>
            </w:r>
            <w:r>
              <w:rPr>
                <w:rFonts w:asciiTheme="majorBidi" w:eastAsia="Times New Roman" w:hAnsiTheme="majorBidi" w:cstheme="majorBidi"/>
                <w:bCs/>
                <w:noProof/>
                <w:sz w:val="22"/>
                <w:szCs w:val="22"/>
                <w:lang w:eastAsia="en-US"/>
              </w:rPr>
              <w:t>de</w:t>
            </w:r>
            <w:r w:rsidRPr="009B0CC9">
              <w:rPr>
                <w:rFonts w:asciiTheme="majorBidi" w:eastAsia="Times New Roman" w:hAnsiTheme="majorBidi" w:cstheme="majorBidi"/>
                <w:bCs/>
                <w:noProof/>
                <w:sz w:val="22"/>
                <w:szCs w:val="22"/>
                <w:lang w:eastAsia="en-US"/>
              </w:rPr>
              <w:t xml:space="preserve"> </w:t>
            </w:r>
            <w:r>
              <w:rPr>
                <w:rFonts w:asciiTheme="majorBidi" w:eastAsia="Times New Roman" w:hAnsiTheme="majorBidi" w:cstheme="majorBidi"/>
                <w:bCs/>
                <w:noProof/>
                <w:sz w:val="22"/>
                <w:szCs w:val="22"/>
                <w:lang w:eastAsia="en-US"/>
              </w:rPr>
              <w:t>școli</w:t>
            </w:r>
            <w:r w:rsidRPr="009B0CC9">
              <w:rPr>
                <w:rFonts w:asciiTheme="majorBidi" w:eastAsia="Times New Roman" w:hAnsiTheme="majorBidi" w:cstheme="majorBidi"/>
                <w:bCs/>
                <w:noProof/>
                <w:sz w:val="22"/>
                <w:szCs w:val="22"/>
                <w:lang w:eastAsia="en-US"/>
              </w:rPr>
              <w:t xml:space="preserve"> </w:t>
            </w:r>
            <w:r>
              <w:rPr>
                <w:rFonts w:asciiTheme="majorBidi" w:eastAsia="Times New Roman" w:hAnsiTheme="majorBidi" w:cstheme="majorBidi"/>
                <w:bCs/>
                <w:noProof/>
                <w:sz w:val="22"/>
                <w:szCs w:val="22"/>
                <w:lang w:eastAsia="en-US"/>
              </w:rPr>
              <w:t>verzi</w:t>
            </w:r>
            <w:r w:rsidRPr="009B0CC9">
              <w:rPr>
                <w:rFonts w:asciiTheme="majorBidi" w:eastAsia="Times New Roman" w:hAnsiTheme="majorBidi" w:cstheme="majorBidi"/>
                <w:bCs/>
                <w:noProof/>
                <w:sz w:val="22"/>
                <w:szCs w:val="22"/>
                <w:lang w:eastAsia="en-US"/>
              </w:rPr>
              <w:t xml:space="preserve"> – </w:t>
            </w:r>
            <w:r>
              <w:rPr>
                <w:rFonts w:asciiTheme="majorBidi" w:eastAsia="Times New Roman" w:hAnsiTheme="majorBidi" w:cstheme="majorBidi"/>
                <w:bCs/>
                <w:noProof/>
                <w:sz w:val="22"/>
                <w:szCs w:val="22"/>
                <w:lang w:eastAsia="en-US"/>
              </w:rPr>
              <w:t>Reabilitare</w:t>
            </w:r>
            <w:r w:rsidRPr="009B0CC9">
              <w:rPr>
                <w:rFonts w:asciiTheme="majorBidi" w:eastAsia="Times New Roman" w:hAnsiTheme="majorBidi" w:cstheme="majorBidi"/>
                <w:bCs/>
                <w:noProof/>
                <w:sz w:val="22"/>
                <w:szCs w:val="22"/>
                <w:lang w:eastAsia="en-US"/>
              </w:rPr>
              <w:t xml:space="preserve">/ </w:t>
            </w:r>
            <w:r>
              <w:rPr>
                <w:rFonts w:asciiTheme="majorBidi" w:eastAsia="Times New Roman" w:hAnsiTheme="majorBidi" w:cstheme="majorBidi"/>
                <w:bCs/>
                <w:noProof/>
                <w:sz w:val="22"/>
                <w:szCs w:val="22"/>
                <w:lang w:eastAsia="en-US"/>
              </w:rPr>
              <w:t>Renovare</w:t>
            </w:r>
            <w:r w:rsidRPr="009B0CC9">
              <w:rPr>
                <w:rFonts w:asciiTheme="majorBidi" w:eastAsia="Times New Roman" w:hAnsiTheme="majorBidi" w:cstheme="majorBidi"/>
                <w:bCs/>
                <w:noProof/>
                <w:sz w:val="22"/>
                <w:szCs w:val="22"/>
                <w:lang w:eastAsia="en-US"/>
              </w:rPr>
              <w:t xml:space="preserve"> </w:t>
            </w:r>
            <w:r>
              <w:rPr>
                <w:rFonts w:asciiTheme="majorBidi" w:eastAsia="Times New Roman" w:hAnsiTheme="majorBidi" w:cstheme="majorBidi"/>
                <w:bCs/>
                <w:noProof/>
                <w:sz w:val="22"/>
                <w:szCs w:val="22"/>
                <w:lang w:eastAsia="en-US"/>
              </w:rPr>
              <w:t>energetică</w:t>
            </w:r>
          </w:p>
        </w:tc>
      </w:tr>
      <w:tr w:rsidR="009B0CC9" w:rsidRPr="00576CC4" w14:paraId="02EB02D1" w14:textId="6786CAC0" w:rsidTr="009B0CC9">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308" w:type="dxa"/>
            <w:tcBorders>
              <w:top w:val="nil"/>
              <w:left w:val="nil"/>
              <w:bottom w:val="single" w:sz="8" w:space="0" w:color="auto"/>
              <w:right w:val="single" w:sz="8" w:space="0" w:color="auto"/>
            </w:tcBorders>
            <w:shd w:val="clear" w:color="auto" w:fill="auto"/>
            <w:vAlign w:val="center"/>
            <w:hideMark/>
          </w:tcPr>
          <w:p w14:paraId="1BA87D51" w14:textId="13FDEB3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1882" w:type="dxa"/>
            <w:tcBorders>
              <w:top w:val="nil"/>
              <w:left w:val="nil"/>
              <w:bottom w:val="single" w:sz="8" w:space="0" w:color="auto"/>
              <w:right w:val="single" w:sz="8" w:space="0" w:color="auto"/>
            </w:tcBorders>
            <w:shd w:val="clear" w:color="auto" w:fill="auto"/>
            <w:vAlign w:val="center"/>
            <w:hideMark/>
          </w:tcPr>
          <w:p w14:paraId="29DC490B" w14:textId="69D2C1E3"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3860" w:type="dxa"/>
            <w:tcBorders>
              <w:top w:val="nil"/>
              <w:left w:val="nil"/>
              <w:bottom w:val="single" w:sz="8" w:space="0" w:color="auto"/>
              <w:right w:val="single" w:sz="8" w:space="0" w:color="auto"/>
            </w:tcBorders>
          </w:tcPr>
          <w:p w14:paraId="391D233C" w14:textId="58A3839C" w:rsidR="009B0CC9" w:rsidRPr="00576CC4" w:rsidRDefault="009B0CC9" w:rsidP="009B0CC9">
            <w:pPr>
              <w:rPr>
                <w:rFonts w:asciiTheme="majorBidi" w:eastAsia="Times New Roman" w:hAnsiTheme="majorBidi" w:cstheme="majorBidi"/>
                <w:bCs/>
                <w:noProof/>
                <w:sz w:val="22"/>
                <w:szCs w:val="22"/>
                <w:lang w:eastAsia="en-US"/>
              </w:rPr>
            </w:pPr>
            <w:r w:rsidRPr="009B0CC9">
              <w:rPr>
                <w:rFonts w:asciiTheme="majorBidi" w:eastAsia="Times New Roman" w:hAnsiTheme="majorBidi" w:cstheme="majorBidi"/>
                <w:bCs/>
                <w:noProof/>
                <w:sz w:val="22"/>
                <w:szCs w:val="22"/>
                <w:lang w:eastAsia="en-US"/>
              </w:rPr>
              <w:t xml:space="preserve">SUBCOMPONENTA II: Dezvoltarea rețelei de școli verzi </w:t>
            </w:r>
            <w:r>
              <w:rPr>
                <w:rFonts w:asciiTheme="majorBidi" w:eastAsia="Times New Roman" w:hAnsiTheme="majorBidi" w:cstheme="majorBidi"/>
                <w:bCs/>
                <w:noProof/>
                <w:sz w:val="22"/>
                <w:szCs w:val="22"/>
                <w:lang w:eastAsia="en-US"/>
              </w:rPr>
              <w:t>– Construcții noi</w:t>
            </w:r>
          </w:p>
        </w:tc>
      </w:tr>
    </w:tbl>
    <w:p w14:paraId="0CD7BAE9" w14:textId="3046F7A6"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Defalcarea bugetului, acordat în cadrul Contractului de finanțare, aferent anului 202</w:t>
      </w:r>
      <w:r w:rsidR="006B5F46">
        <w:rPr>
          <w:rFonts w:asciiTheme="majorBidi" w:hAnsiTheme="majorBidi" w:cstheme="majorBidi"/>
          <w:bCs/>
          <w:sz w:val="22"/>
          <w:szCs w:val="22"/>
        </w:rPr>
        <w:t>2</w:t>
      </w:r>
      <w:r w:rsidRPr="00576CC4">
        <w:rPr>
          <w:rFonts w:asciiTheme="majorBidi" w:hAnsiTheme="majorBidi" w:cstheme="majorBidi"/>
          <w:bCs/>
          <w:sz w:val="22"/>
          <w:szCs w:val="22"/>
        </w:rPr>
        <w:t>, este următoarea:</w:t>
      </w:r>
    </w:p>
    <w:tbl>
      <w:tblPr>
        <w:tblW w:w="9800" w:type="dxa"/>
        <w:tblInd w:w="-10" w:type="dxa"/>
        <w:tblLook w:val="04A0" w:firstRow="1" w:lastRow="0" w:firstColumn="1" w:lastColumn="0" w:noHBand="0" w:noVBand="1"/>
      </w:tblPr>
      <w:tblGrid>
        <w:gridCol w:w="2250"/>
        <w:gridCol w:w="2430"/>
        <w:gridCol w:w="1890"/>
        <w:gridCol w:w="3230"/>
      </w:tblGrid>
      <w:tr w:rsidR="009B0CC9" w:rsidRPr="00576CC4" w14:paraId="2BE1254D" w14:textId="57CC1EDC" w:rsidTr="009B0CC9">
        <w:trPr>
          <w:trHeight w:val="555"/>
        </w:trPr>
        <w:tc>
          <w:tcPr>
            <w:tcW w:w="65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36978663" w:rsidR="009B0CC9" w:rsidRPr="00576CC4" w:rsidRDefault="009B0CC9" w:rsidP="006B5F46">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An 202</w:t>
            </w:r>
            <w:r>
              <w:rPr>
                <w:rFonts w:asciiTheme="majorBidi" w:eastAsia="Times New Roman" w:hAnsiTheme="majorBidi" w:cstheme="majorBidi"/>
                <w:bCs/>
                <w:sz w:val="22"/>
                <w:szCs w:val="22"/>
                <w:lang w:eastAsia="en-US"/>
              </w:rPr>
              <w:t>3</w:t>
            </w:r>
          </w:p>
        </w:tc>
        <w:tc>
          <w:tcPr>
            <w:tcW w:w="3230" w:type="dxa"/>
            <w:tcBorders>
              <w:top w:val="single" w:sz="8" w:space="0" w:color="auto"/>
              <w:left w:val="single" w:sz="8" w:space="0" w:color="auto"/>
              <w:bottom w:val="single" w:sz="8" w:space="0" w:color="auto"/>
              <w:right w:val="single" w:sz="8" w:space="0" w:color="000000"/>
            </w:tcBorders>
          </w:tcPr>
          <w:p w14:paraId="4CC8B630" w14:textId="77777777" w:rsidR="009B0CC9" w:rsidRPr="00576CC4" w:rsidRDefault="009B0CC9" w:rsidP="006B5F46">
            <w:pPr>
              <w:widowControl/>
              <w:jc w:val="both"/>
              <w:rPr>
                <w:rFonts w:asciiTheme="majorBidi" w:eastAsia="Times New Roman" w:hAnsiTheme="majorBidi" w:cstheme="majorBidi"/>
                <w:bCs/>
                <w:sz w:val="22"/>
                <w:szCs w:val="22"/>
                <w:lang w:eastAsia="en-US"/>
              </w:rPr>
            </w:pPr>
          </w:p>
        </w:tc>
      </w:tr>
      <w:tr w:rsidR="009B0CC9" w:rsidRPr="00576CC4" w14:paraId="55CEA3E5" w14:textId="4B02283A" w:rsidTr="009B0CC9">
        <w:trPr>
          <w:trHeight w:val="555"/>
        </w:trPr>
        <w:tc>
          <w:tcPr>
            <w:tcW w:w="657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Credite de angajament</w:t>
            </w:r>
          </w:p>
        </w:tc>
        <w:tc>
          <w:tcPr>
            <w:tcW w:w="3230" w:type="dxa"/>
            <w:tcBorders>
              <w:top w:val="single" w:sz="8" w:space="0" w:color="auto"/>
              <w:left w:val="single" w:sz="8" w:space="0" w:color="auto"/>
              <w:bottom w:val="single" w:sz="8" w:space="0" w:color="auto"/>
              <w:right w:val="single" w:sz="8" w:space="0" w:color="000000"/>
            </w:tcBorders>
          </w:tcPr>
          <w:p w14:paraId="2CCE1C47"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r>
      <w:tr w:rsidR="009B0CC9" w:rsidRPr="00576CC4" w14:paraId="7A2D198C" w14:textId="7A1F9626" w:rsidTr="009B0CC9">
        <w:trPr>
          <w:trHeight w:val="205"/>
        </w:trPr>
        <w:tc>
          <w:tcPr>
            <w:tcW w:w="2250"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totală (Lei)</w:t>
            </w:r>
          </w:p>
        </w:tc>
        <w:tc>
          <w:tcPr>
            <w:tcW w:w="43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Din care:</w:t>
            </w:r>
          </w:p>
        </w:tc>
        <w:tc>
          <w:tcPr>
            <w:tcW w:w="3230" w:type="dxa"/>
            <w:tcBorders>
              <w:top w:val="single" w:sz="8" w:space="0" w:color="auto"/>
              <w:left w:val="nil"/>
              <w:bottom w:val="single" w:sz="8" w:space="0" w:color="auto"/>
              <w:right w:val="single" w:sz="8" w:space="0" w:color="000000"/>
            </w:tcBorders>
          </w:tcPr>
          <w:p w14:paraId="28D01F26"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r>
      <w:tr w:rsidR="009B0CC9" w:rsidRPr="00576CC4" w14:paraId="40878C3F" w14:textId="5347CBA5" w:rsidTr="00BD72FA">
        <w:trPr>
          <w:trHeight w:val="880"/>
        </w:trPr>
        <w:tc>
          <w:tcPr>
            <w:tcW w:w="2250" w:type="dxa"/>
            <w:vMerge/>
            <w:tcBorders>
              <w:top w:val="nil"/>
              <w:left w:val="single" w:sz="8" w:space="0" w:color="auto"/>
              <w:bottom w:val="single" w:sz="8" w:space="0" w:color="000000"/>
              <w:right w:val="single" w:sz="8" w:space="0" w:color="auto"/>
            </w:tcBorders>
            <w:vAlign w:val="center"/>
            <w:hideMark/>
          </w:tcPr>
          <w:p w14:paraId="2F3A0ECA"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c>
          <w:tcPr>
            <w:tcW w:w="2430" w:type="dxa"/>
            <w:tcBorders>
              <w:top w:val="nil"/>
              <w:left w:val="nil"/>
              <w:bottom w:val="single" w:sz="8" w:space="0" w:color="auto"/>
              <w:right w:val="single" w:sz="4" w:space="0" w:color="auto"/>
            </w:tcBorders>
            <w:shd w:val="clear" w:color="auto" w:fill="auto"/>
            <w:vAlign w:val="center"/>
            <w:hideMark/>
          </w:tcPr>
          <w:p w14:paraId="615629D5"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eligibilă nerambursabilă din PNRR (Lei)</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TVA (Lei)</w:t>
            </w:r>
          </w:p>
        </w:tc>
        <w:tc>
          <w:tcPr>
            <w:tcW w:w="3230" w:type="dxa"/>
            <w:tcBorders>
              <w:top w:val="single" w:sz="4" w:space="0" w:color="auto"/>
              <w:left w:val="nil"/>
              <w:bottom w:val="single" w:sz="4" w:space="0" w:color="auto"/>
              <w:right w:val="single" w:sz="4" w:space="0" w:color="auto"/>
            </w:tcBorders>
          </w:tcPr>
          <w:p w14:paraId="045C66CA" w14:textId="2E6B906D" w:rsidR="009B0CC9" w:rsidRPr="00576CC4" w:rsidRDefault="00BD72FA" w:rsidP="00BD72FA">
            <w:pPr>
              <w:widowControl/>
              <w:jc w:val="center"/>
              <w:rPr>
                <w:rFonts w:asciiTheme="majorBidi" w:eastAsia="Times New Roman" w:hAnsiTheme="majorBidi" w:cstheme="majorBidi"/>
                <w:bCs/>
                <w:sz w:val="22"/>
                <w:szCs w:val="22"/>
                <w:lang w:eastAsia="en-US"/>
              </w:rPr>
            </w:pPr>
            <w:r w:rsidRPr="00BD72FA">
              <w:rPr>
                <w:rFonts w:asciiTheme="majorBidi" w:eastAsia="Times New Roman" w:hAnsiTheme="majorBidi" w:cstheme="majorBidi"/>
                <w:bCs/>
                <w:sz w:val="22"/>
                <w:szCs w:val="22"/>
                <w:lang w:eastAsia="en-US"/>
              </w:rPr>
              <w:t>SUBCOMPONENTA</w:t>
            </w:r>
          </w:p>
        </w:tc>
      </w:tr>
      <w:tr w:rsidR="009B0CC9" w:rsidRPr="00576CC4" w14:paraId="446E0470" w14:textId="77777777" w:rsidTr="009B0CC9">
        <w:trPr>
          <w:trHeight w:val="727"/>
        </w:trPr>
        <w:tc>
          <w:tcPr>
            <w:tcW w:w="2250" w:type="dxa"/>
            <w:tcBorders>
              <w:top w:val="nil"/>
              <w:left w:val="single" w:sz="8" w:space="0" w:color="auto"/>
              <w:bottom w:val="single" w:sz="8" w:space="0" w:color="000000"/>
              <w:right w:val="single" w:sz="8" w:space="0" w:color="auto"/>
            </w:tcBorders>
            <w:vAlign w:val="center"/>
          </w:tcPr>
          <w:p w14:paraId="1FFD99C9"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c>
          <w:tcPr>
            <w:tcW w:w="2430" w:type="dxa"/>
            <w:tcBorders>
              <w:top w:val="nil"/>
              <w:left w:val="nil"/>
              <w:bottom w:val="single" w:sz="8" w:space="0" w:color="auto"/>
              <w:right w:val="single" w:sz="4" w:space="0" w:color="auto"/>
            </w:tcBorders>
            <w:shd w:val="clear" w:color="auto" w:fill="auto"/>
            <w:vAlign w:val="center"/>
          </w:tcPr>
          <w:p w14:paraId="5F016BB1"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548D3D91" w14:textId="77777777" w:rsidR="009B0CC9" w:rsidRPr="00576CC4" w:rsidRDefault="009B0CC9" w:rsidP="00FA2190">
            <w:pPr>
              <w:widowControl/>
              <w:jc w:val="both"/>
              <w:rPr>
                <w:rFonts w:asciiTheme="majorBidi" w:eastAsia="Times New Roman" w:hAnsiTheme="majorBidi" w:cstheme="majorBidi"/>
                <w:bCs/>
                <w:sz w:val="22"/>
                <w:szCs w:val="22"/>
                <w:lang w:eastAsia="en-US"/>
              </w:rPr>
            </w:pPr>
          </w:p>
        </w:tc>
        <w:tc>
          <w:tcPr>
            <w:tcW w:w="3230" w:type="dxa"/>
            <w:tcBorders>
              <w:top w:val="single" w:sz="4" w:space="0" w:color="auto"/>
              <w:left w:val="nil"/>
              <w:bottom w:val="single" w:sz="4" w:space="0" w:color="auto"/>
              <w:right w:val="single" w:sz="4" w:space="0" w:color="auto"/>
            </w:tcBorders>
          </w:tcPr>
          <w:p w14:paraId="497FBC77" w14:textId="54359022" w:rsidR="009B0CC9" w:rsidRPr="00576CC4" w:rsidRDefault="00BD72FA" w:rsidP="00FA2190">
            <w:pPr>
              <w:widowControl/>
              <w:jc w:val="both"/>
              <w:rPr>
                <w:rFonts w:asciiTheme="majorBidi" w:eastAsia="Times New Roman" w:hAnsiTheme="majorBidi" w:cstheme="majorBidi"/>
                <w:bCs/>
                <w:sz w:val="22"/>
                <w:szCs w:val="22"/>
                <w:lang w:eastAsia="en-US"/>
              </w:rPr>
            </w:pPr>
            <w:r w:rsidRPr="00BD72FA">
              <w:rPr>
                <w:rFonts w:asciiTheme="majorBidi" w:eastAsia="Times New Roman" w:hAnsiTheme="majorBidi" w:cstheme="majorBidi"/>
                <w:bCs/>
                <w:sz w:val="22"/>
                <w:szCs w:val="22"/>
                <w:lang w:eastAsia="en-US"/>
              </w:rPr>
              <w:t>SUBCOMPONENTA I: Dezvoltarea rețelei de școli verzi – Reabilitare/ Renovare energetică</w:t>
            </w:r>
          </w:p>
        </w:tc>
      </w:tr>
      <w:tr w:rsidR="009B0CC9" w:rsidRPr="00576CC4" w14:paraId="36C7737C" w14:textId="67E011CC" w:rsidTr="009B0CC9">
        <w:trPr>
          <w:trHeight w:val="435"/>
        </w:trPr>
        <w:tc>
          <w:tcPr>
            <w:tcW w:w="2250"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430" w:type="dxa"/>
            <w:tcBorders>
              <w:top w:val="nil"/>
              <w:left w:val="nil"/>
              <w:bottom w:val="single" w:sz="8" w:space="0" w:color="auto"/>
              <w:right w:val="single" w:sz="4" w:space="0" w:color="auto"/>
            </w:tcBorders>
            <w:shd w:val="clear" w:color="auto" w:fill="auto"/>
            <w:noWrap/>
            <w:vAlign w:val="center"/>
          </w:tcPr>
          <w:p w14:paraId="733FD125" w14:textId="692897E2"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B0CC9" w:rsidRPr="00576CC4" w:rsidRDefault="009B0CC9"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3230" w:type="dxa"/>
            <w:tcBorders>
              <w:top w:val="single" w:sz="4" w:space="0" w:color="auto"/>
              <w:left w:val="single" w:sz="4" w:space="0" w:color="auto"/>
              <w:bottom w:val="single" w:sz="4" w:space="0" w:color="auto"/>
              <w:right w:val="single" w:sz="4" w:space="0" w:color="auto"/>
            </w:tcBorders>
          </w:tcPr>
          <w:p w14:paraId="1A17A4B7" w14:textId="420EB6B1" w:rsidR="009B0CC9" w:rsidRPr="00576CC4" w:rsidRDefault="00BD72FA" w:rsidP="00FA2190">
            <w:pPr>
              <w:widowControl/>
              <w:jc w:val="both"/>
              <w:rPr>
                <w:rFonts w:asciiTheme="majorBidi" w:eastAsia="Times New Roman" w:hAnsiTheme="majorBidi" w:cstheme="majorBidi"/>
                <w:bCs/>
                <w:noProof/>
                <w:sz w:val="22"/>
                <w:szCs w:val="22"/>
                <w:lang w:eastAsia="en-US"/>
              </w:rPr>
            </w:pPr>
            <w:r w:rsidRPr="00BD72FA">
              <w:rPr>
                <w:rFonts w:asciiTheme="majorBidi" w:eastAsia="Times New Roman" w:hAnsiTheme="majorBidi" w:cstheme="majorBidi"/>
                <w:bCs/>
                <w:noProof/>
                <w:sz w:val="22"/>
                <w:szCs w:val="22"/>
                <w:lang w:eastAsia="en-US"/>
              </w:rPr>
              <w:t>SUBCOMPONENTA II: Dezvoltarea rețelei de școli verzi – Construcții noi</w:t>
            </w:r>
          </w:p>
        </w:tc>
      </w:tr>
    </w:tbl>
    <w:p w14:paraId="1CA63597" w14:textId="77777777" w:rsidR="00982F23" w:rsidRPr="00576CC4"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sz w:val="22"/>
          <w:szCs w:val="22"/>
        </w:rPr>
      </w:pPr>
    </w:p>
    <w:p w14:paraId="2F6297A8" w14:textId="41E74D32"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lastRenderedPageBreak/>
        <w:t xml:space="preserve">Sumele neeligibile PNNR în </w:t>
      </w:r>
      <w:r w:rsidR="00BB7F06" w:rsidRPr="00576CC4">
        <w:rPr>
          <w:rFonts w:asciiTheme="majorBidi" w:hAnsiTheme="majorBidi" w:cstheme="majorBidi"/>
          <w:bCs/>
          <w:sz w:val="22"/>
          <w:szCs w:val="22"/>
        </w:rPr>
        <w:t>cuantum</w:t>
      </w:r>
      <w:r w:rsidRPr="00576CC4">
        <w:rPr>
          <w:rFonts w:asciiTheme="majorBidi" w:hAnsiTheme="majorBidi" w:cstheme="majorBidi"/>
          <w:bCs/>
          <w:sz w:val="22"/>
          <w:szCs w:val="22"/>
        </w:rPr>
        <w:t xml:space="preserve"> de </w:t>
      </w:r>
      <w:r w:rsidR="001C1B4A" w:rsidRPr="00576CC4">
        <w:rPr>
          <w:rFonts w:asciiTheme="majorBidi" w:hAnsiTheme="majorBidi" w:cstheme="majorBidi"/>
          <w:bCs/>
          <w:noProof/>
          <w:sz w:val="22"/>
          <w:szCs w:val="22"/>
        </w:rPr>
        <w:t>.....................................</w:t>
      </w:r>
      <w:r w:rsidRPr="00576CC4">
        <w:rPr>
          <w:rFonts w:asciiTheme="majorBidi" w:hAnsiTheme="majorBidi" w:cstheme="majorBidi"/>
          <w:bCs/>
          <w:sz w:val="22"/>
          <w:szCs w:val="22"/>
        </w:rPr>
        <w:t xml:space="preserve"> lei, prevăzute în Proiect, vor fi suportate de Beneficiar din bugetul propriu.</w:t>
      </w:r>
    </w:p>
    <w:p w14:paraId="7460CB8A" w14:textId="7C8FC1D3"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valoarea totală a Proiectului </w:t>
      </w:r>
      <w:r w:rsidR="00BB7F06" w:rsidRPr="00576CC4">
        <w:rPr>
          <w:rFonts w:asciiTheme="majorBidi" w:hAnsiTheme="majorBidi" w:cstheme="majorBidi"/>
          <w:bCs/>
          <w:sz w:val="22"/>
          <w:szCs w:val="22"/>
        </w:rPr>
        <w:t>creste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față</w:t>
      </w:r>
      <w:r w:rsidRPr="00576CC4">
        <w:rPr>
          <w:rFonts w:asciiTheme="majorBidi" w:hAnsiTheme="majorBidi" w:cstheme="majorBidi"/>
          <w:bCs/>
          <w:sz w:val="22"/>
          <w:szCs w:val="22"/>
        </w:rPr>
        <w:t xml:space="preserve"> de valoarea convenită la aliniatele (1) și (2) ale </w:t>
      </w:r>
      <w:r w:rsidR="00BB7F06" w:rsidRPr="00576CC4">
        <w:rPr>
          <w:rFonts w:asciiTheme="majorBidi" w:hAnsiTheme="majorBidi" w:cstheme="majorBidi"/>
          <w:bCs/>
          <w:sz w:val="22"/>
          <w:szCs w:val="22"/>
        </w:rPr>
        <w:t>prezentului</w:t>
      </w:r>
      <w:r w:rsidRPr="00576CC4">
        <w:rPr>
          <w:rFonts w:asciiTheme="majorBidi" w:hAnsiTheme="majorBidi" w:cstheme="majorBidi"/>
          <w:bCs/>
          <w:sz w:val="22"/>
          <w:szCs w:val="22"/>
        </w:rPr>
        <w:t xml:space="preserve"> articol, </w:t>
      </w:r>
      <w:r w:rsidR="00BB7F06" w:rsidRPr="00576CC4">
        <w:rPr>
          <w:rFonts w:asciiTheme="majorBidi" w:hAnsiTheme="majorBidi" w:cstheme="majorBidi"/>
          <w:bCs/>
          <w:sz w:val="22"/>
          <w:szCs w:val="22"/>
        </w:rPr>
        <w:t>diferența</w:t>
      </w:r>
      <w:r w:rsidRPr="00576CC4">
        <w:rPr>
          <w:rFonts w:asciiTheme="majorBidi" w:hAnsiTheme="majorBidi" w:cstheme="majorBidi"/>
          <w:bCs/>
          <w:sz w:val="22"/>
          <w:szCs w:val="22"/>
        </w:rPr>
        <w:t xml:space="preserve"> astfel rezultată va fi suportată în întregime de Beneficiar.</w:t>
      </w:r>
    </w:p>
    <w:p w14:paraId="406D6039" w14:textId="0880034F" w:rsidR="00982F23" w:rsidRPr="00576CC4" w:rsidRDefault="00BB7F06">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Finanțarea</w:t>
      </w:r>
      <w:r w:rsidR="00982F23" w:rsidRPr="00576CC4">
        <w:rPr>
          <w:rFonts w:asciiTheme="majorBidi" w:hAnsiTheme="majorBidi" w:cstheme="majorBidi"/>
          <w:bCs/>
          <w:sz w:val="22"/>
          <w:szCs w:val="22"/>
        </w:rPr>
        <w:t xml:space="preserve"> va fi acordată, în baza cererilor de transfer, însoțite de documentele justificative în conformitate cu instrucțiunile specifice de lucru emise de Ministerul Educației.</w:t>
      </w:r>
    </w:p>
    <w:p w14:paraId="3F11448C" w14:textId="58F4F865"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576CC4" w:rsidRDefault="00FA2190" w:rsidP="00FA2190">
      <w:pPr>
        <w:jc w:val="both"/>
        <w:rPr>
          <w:rFonts w:asciiTheme="majorBidi" w:hAnsiTheme="majorBidi" w:cstheme="majorBidi"/>
          <w:sz w:val="22"/>
          <w:szCs w:val="22"/>
        </w:rPr>
      </w:pPr>
    </w:p>
    <w:p w14:paraId="147F8089" w14:textId="0C600309"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4 -Drepturile și obligațiile Ministerului Educației – Coordonatorul de reforme</w:t>
      </w:r>
    </w:p>
    <w:p w14:paraId="7A72BACB" w14:textId="48EA0ED6"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8F3FDD"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informa Beneficiarul, în timp util, cu privire la orice decizie luată care poate afecta implementarea Proiectului finanțat din Componenta 15. Educație, a PNRR -.</w:t>
      </w:r>
    </w:p>
    <w:p w14:paraId="1E74F256" w14:textId="72F1D9AF"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8F3FDD"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informa Beneficiarul cu privire la rapoartele, concluziile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recomandările care au impact asupra PNRR, apelul </w:t>
      </w:r>
      <w:r w:rsidR="00085083"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formulate de către Comisia Europeană (CE)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orice altă autoritate competentă. </w:t>
      </w:r>
    </w:p>
    <w:p w14:paraId="07819900" w14:textId="6EFEDB44"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8F3FDD"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răspunde în scris conform </w:t>
      </w:r>
      <w:r w:rsidR="00BB7F06" w:rsidRPr="00576CC4">
        <w:rPr>
          <w:rFonts w:asciiTheme="majorBidi" w:hAnsiTheme="majorBidi" w:cstheme="majorBidi"/>
          <w:bCs/>
          <w:sz w:val="22"/>
          <w:szCs w:val="22"/>
        </w:rPr>
        <w:t>competențelor</w:t>
      </w:r>
      <w:r w:rsidRPr="00576CC4">
        <w:rPr>
          <w:rFonts w:asciiTheme="majorBidi" w:hAnsiTheme="majorBidi" w:cstheme="majorBidi"/>
          <w:bCs/>
          <w:sz w:val="22"/>
          <w:szCs w:val="22"/>
        </w:rPr>
        <w:t xml:space="preserve"> stabilite, în termen de 15 zile lucrătoare, oricărei solicitări a beneficiarului privind </w:t>
      </w:r>
      <w:r w:rsidR="00BB7F06" w:rsidRPr="00576CC4">
        <w:rPr>
          <w:rFonts w:asciiTheme="majorBidi" w:hAnsiTheme="majorBidi" w:cstheme="majorBidi"/>
          <w:bCs/>
          <w:sz w:val="22"/>
          <w:szCs w:val="22"/>
        </w:rPr>
        <w:t>informațiile</w:t>
      </w:r>
      <w:r w:rsidRPr="00576CC4">
        <w:rPr>
          <w:rFonts w:asciiTheme="majorBidi" w:hAnsiTheme="majorBidi" w:cstheme="majorBidi"/>
          <w:bCs/>
          <w:sz w:val="22"/>
          <w:szCs w:val="22"/>
        </w:rPr>
        <w:t xml:space="preserve"> sau clarificările pe care acesta le consideră necesare pentru implementarea Proiectului.</w:t>
      </w:r>
    </w:p>
    <w:p w14:paraId="11D73A9E" w14:textId="7796C359"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w:t>
      </w:r>
      <w:r w:rsidRPr="0005444F">
        <w:rPr>
          <w:rFonts w:asciiTheme="majorBidi" w:hAnsiTheme="majorBidi" w:cstheme="majorBidi"/>
          <w:bCs/>
          <w:sz w:val="22"/>
          <w:szCs w:val="22"/>
        </w:rPr>
        <w:t xml:space="preserve">are </w:t>
      </w:r>
      <w:r w:rsidR="002576BA" w:rsidRPr="00C373FD">
        <w:rPr>
          <w:rFonts w:asciiTheme="majorBidi" w:hAnsiTheme="majorBidi" w:cstheme="majorBidi"/>
          <w:bCs/>
          <w:sz w:val="22"/>
          <w:szCs w:val="22"/>
        </w:rPr>
        <w:t>obligația</w:t>
      </w:r>
      <w:r w:rsidRPr="00576CC4">
        <w:rPr>
          <w:rFonts w:asciiTheme="majorBidi" w:hAnsiTheme="majorBidi" w:cstheme="majorBidi"/>
          <w:bCs/>
          <w:sz w:val="22"/>
          <w:szCs w:val="22"/>
        </w:rPr>
        <w:t xml:space="preserve"> de a monitoriza din punct de vedere tehnic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eastAsia="Palatino Linotype" w:hAnsiTheme="majorBidi" w:cstheme="majorBidi"/>
          <w:bCs/>
          <w:sz w:val="22"/>
          <w:szCs w:val="22"/>
        </w:rPr>
      </w:pPr>
      <w:r w:rsidRPr="00576CC4">
        <w:rPr>
          <w:rFonts w:asciiTheme="majorBidi" w:hAnsiTheme="majorBidi" w:cstheme="majorBidi"/>
          <w:bCs/>
          <w:sz w:val="22"/>
          <w:szCs w:val="22"/>
        </w:rPr>
        <w:t xml:space="preserve">Ministerul Educației are obligația de </w:t>
      </w:r>
      <w:r w:rsidRPr="00576CC4">
        <w:rPr>
          <w:rFonts w:asciiTheme="majorBidi" w:eastAsia="Palatino Linotype" w:hAnsiTheme="majorBidi" w:cstheme="majorBidi"/>
          <w:bCs/>
          <w:sz w:val="22"/>
          <w:szCs w:val="22"/>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Pr="00576CC4">
        <w:rPr>
          <w:rFonts w:asciiTheme="majorBidi" w:eastAsia="Palatino Linotype" w:hAnsiTheme="majorBidi" w:cstheme="majorBidi"/>
          <w:bCs/>
          <w:sz w:val="22"/>
          <w:szCs w:val="22"/>
        </w:rPr>
        <w:t>dreptul de a verifica legalitatea, regularitatea și realitatea tuturor activităților aferente implementării Proiectului.</w:t>
      </w:r>
    </w:p>
    <w:p w14:paraId="72690078" w14:textId="4FD1A15B"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efectua verificarea la </w:t>
      </w:r>
      <w:r w:rsidR="00BB7F06" w:rsidRPr="00576CC4">
        <w:rPr>
          <w:rFonts w:asciiTheme="majorBidi" w:hAnsiTheme="majorBidi" w:cstheme="majorBidi"/>
          <w:bCs/>
          <w:sz w:val="22"/>
          <w:szCs w:val="22"/>
        </w:rPr>
        <w:t>fața</w:t>
      </w:r>
      <w:r w:rsidRPr="00576CC4">
        <w:rPr>
          <w:rFonts w:asciiTheme="majorBidi" w:hAnsiTheme="majorBidi" w:cstheme="majorBidi"/>
          <w:bCs/>
          <w:sz w:val="22"/>
          <w:szCs w:val="22"/>
        </w:rPr>
        <w:t xml:space="preserve"> locului a </w:t>
      </w:r>
      <w:r w:rsidR="00BB7F06" w:rsidRPr="00576CC4">
        <w:rPr>
          <w:rFonts w:asciiTheme="majorBidi" w:hAnsiTheme="majorBidi" w:cstheme="majorBidi"/>
          <w:bCs/>
          <w:sz w:val="22"/>
          <w:szCs w:val="22"/>
        </w:rPr>
        <w:t>activităților</w:t>
      </w:r>
      <w:r w:rsidRPr="00576CC4">
        <w:rPr>
          <w:rFonts w:asciiTheme="majorBidi" w:hAnsiTheme="majorBidi" w:cstheme="majorBidi"/>
          <w:bCs/>
          <w:sz w:val="22"/>
          <w:szCs w:val="22"/>
        </w:rPr>
        <w:t xml:space="preserve"> aferente implementării Proiectului, în conformitate cu prevederile Contractului, asigurând cel </w:t>
      </w:r>
      <w:r w:rsidR="00BB7F06" w:rsidRPr="00576CC4">
        <w:rPr>
          <w:rFonts w:asciiTheme="majorBidi" w:hAnsiTheme="majorBidi" w:cstheme="majorBidi"/>
          <w:bCs/>
          <w:sz w:val="22"/>
          <w:szCs w:val="22"/>
        </w:rPr>
        <w:t>puțin</w:t>
      </w:r>
      <w:r w:rsidRPr="00576CC4">
        <w:rPr>
          <w:rFonts w:asciiTheme="majorBidi" w:hAnsiTheme="majorBidi" w:cstheme="majorBidi"/>
          <w:bCs/>
          <w:sz w:val="22"/>
          <w:szCs w:val="22"/>
        </w:rPr>
        <w:t xml:space="preserve"> o vizită de verificare pe durata de implementare a Proiectului. </w:t>
      </w:r>
    </w:p>
    <w:p w14:paraId="4143ED09" w14:textId="2AA6B8A0"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poate evalua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controla capacitatea administrativă a Beneficiarului privind îndeplinirea </w:t>
      </w:r>
      <w:r w:rsidR="00BB7F06" w:rsidRPr="00576CC4">
        <w:rPr>
          <w:rFonts w:asciiTheme="majorBidi" w:hAnsiTheme="majorBidi" w:cstheme="majorBidi"/>
          <w:bCs/>
          <w:sz w:val="22"/>
          <w:szCs w:val="22"/>
        </w:rPr>
        <w:t>cerințelor</w:t>
      </w:r>
      <w:r w:rsidRPr="00576CC4">
        <w:rPr>
          <w:rFonts w:asciiTheme="majorBidi" w:hAnsiTheme="majorBidi" w:cstheme="majorBidi"/>
          <w:bCs/>
          <w:sz w:val="22"/>
          <w:szCs w:val="22"/>
        </w:rPr>
        <w:t xml:space="preserve"> determinate de asigurarea </w:t>
      </w:r>
      <w:r w:rsidR="00BB7F06" w:rsidRPr="00576CC4">
        <w:rPr>
          <w:rFonts w:asciiTheme="majorBidi" w:hAnsiTheme="majorBidi" w:cstheme="majorBidi"/>
          <w:bCs/>
          <w:sz w:val="22"/>
          <w:szCs w:val="22"/>
        </w:rPr>
        <w:t>realității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legalității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regularității</w:t>
      </w:r>
      <w:r w:rsidRPr="00576CC4">
        <w:rPr>
          <w:rFonts w:asciiTheme="majorBidi" w:hAnsiTheme="majorBidi" w:cstheme="majorBidi"/>
          <w:bCs/>
          <w:sz w:val="22"/>
          <w:szCs w:val="22"/>
        </w:rPr>
        <w:t xml:space="preserve"> cheltuielilor decontate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respectării </w:t>
      </w:r>
      <w:r w:rsidR="00BB7F06" w:rsidRPr="00576CC4">
        <w:rPr>
          <w:rFonts w:asciiTheme="majorBidi" w:hAnsiTheme="majorBidi" w:cstheme="majorBidi"/>
          <w:bCs/>
          <w:sz w:val="22"/>
          <w:szCs w:val="22"/>
        </w:rPr>
        <w:t>instrucțiunilor</w:t>
      </w:r>
      <w:r w:rsidRPr="00576CC4">
        <w:rPr>
          <w:rFonts w:asciiTheme="majorBidi" w:hAnsiTheme="majorBidi" w:cstheme="majorBidi"/>
          <w:bCs/>
          <w:sz w:val="22"/>
          <w:szCs w:val="22"/>
        </w:rPr>
        <w:t xml:space="preserve">, procedurilor, reglementărilor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regulamentelor europene, precum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 altor prevederi legale în domeniul implementării proiectelor </w:t>
      </w:r>
      <w:r w:rsidR="00BB7F06" w:rsidRPr="00576CC4">
        <w:rPr>
          <w:rFonts w:asciiTheme="majorBidi" w:hAnsiTheme="majorBidi" w:cstheme="majorBidi"/>
          <w:bCs/>
          <w:sz w:val="22"/>
          <w:szCs w:val="22"/>
        </w:rPr>
        <w:t>finanțate</w:t>
      </w:r>
      <w:r w:rsidRPr="00576CC4">
        <w:rPr>
          <w:rFonts w:asciiTheme="majorBidi" w:hAnsiTheme="majorBidi" w:cstheme="majorBidi"/>
          <w:bCs/>
          <w:sz w:val="22"/>
          <w:szCs w:val="22"/>
        </w:rPr>
        <w:t xml:space="preserve"> din fonduri europene aferente Mecanismului de redresare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reziliență</w:t>
      </w:r>
      <w:r w:rsidRPr="00576CC4">
        <w:rPr>
          <w:rFonts w:asciiTheme="majorBidi" w:hAnsiTheme="majorBidi" w:cstheme="majorBidi"/>
          <w:bCs/>
          <w:sz w:val="22"/>
          <w:szCs w:val="22"/>
        </w:rPr>
        <w:t>.</w:t>
      </w:r>
    </w:p>
    <w:p w14:paraId="65E94C68" w14:textId="39254E44"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protejarea intereselor financiare ale Uniunii Europene. </w:t>
      </w:r>
    </w:p>
    <w:p w14:paraId="42251F54" w14:textId="2D486A30"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65705DEC" w:rsidR="00982F23"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Ministerul Educației are obligația de a răspunde la solicitările Beneficiarului privind implementarea Proiectului, în termen de maximum 15 zile lucrătoare de la primirea acestora.</w:t>
      </w:r>
    </w:p>
    <w:p w14:paraId="22D000CD" w14:textId="774A1BBF" w:rsidR="00EF22B5" w:rsidRPr="00576CC4" w:rsidRDefault="00EF22B5">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Pr>
          <w:rFonts w:asciiTheme="majorBidi" w:hAnsiTheme="majorBidi" w:cstheme="majorBidi"/>
          <w:bCs/>
          <w:sz w:val="22"/>
          <w:szCs w:val="22"/>
        </w:rPr>
        <w:lastRenderedPageBreak/>
        <w:t xml:space="preserve"> </w:t>
      </w:r>
      <w:r w:rsidRPr="002F3974">
        <w:rPr>
          <w:rFonts w:asciiTheme="majorBidi" w:hAnsiTheme="majorBidi" w:cstheme="majorBidi"/>
          <w:bCs/>
          <w:sz w:val="22"/>
          <w:szCs w:val="22"/>
        </w:rPr>
        <w:t>Ministerul Educației  are obligația de a verifica îndeplinirea condițiilor pentru efectuarea transferurilor, respectiv de a verifica ex-post procedurile de achiziție realizate de Beneficiar.</w:t>
      </w:r>
    </w:p>
    <w:p w14:paraId="2F76D8F6" w14:textId="2FA7A98F"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poate delega responsabilitatea implementării investițiilor aferente </w:t>
      </w:r>
      <w:r w:rsidR="00085083" w:rsidRPr="00576CC4">
        <w:rPr>
          <w:rFonts w:asciiTheme="majorBidi" w:hAnsiTheme="majorBidi" w:cstheme="majorBidi"/>
          <w:bCs/>
          <w:sz w:val="22"/>
          <w:szCs w:val="22"/>
        </w:rPr>
        <w:t>apelului</w:t>
      </w:r>
      <w:r w:rsidRPr="00576CC4">
        <w:rPr>
          <w:rFonts w:asciiTheme="majorBidi" w:hAnsiTheme="majorBidi" w:cstheme="majorBidi"/>
          <w:bCs/>
          <w:sz w:val="22"/>
          <w:szCs w:val="22"/>
        </w:rPr>
        <w:t xml:space="preserve"> în conformitate cu prevederile art. 6, alin (4) OUG 124/2021, cu modificările și completările ulterioare.</w:t>
      </w:r>
    </w:p>
    <w:p w14:paraId="27244ABF"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D6E1308" w14:textId="47122F00"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5 – Drepturile </w:t>
      </w:r>
      <w:r w:rsidR="00BB7F06" w:rsidRPr="00576CC4">
        <w:rPr>
          <w:rFonts w:asciiTheme="majorBidi" w:hAnsiTheme="majorBidi" w:cstheme="majorBidi"/>
          <w:sz w:val="22"/>
          <w:szCs w:val="22"/>
        </w:rPr>
        <w:t>și</w:t>
      </w:r>
      <w:r w:rsidRPr="00576CC4">
        <w:rPr>
          <w:rFonts w:asciiTheme="majorBidi" w:hAnsiTheme="majorBidi" w:cstheme="majorBidi"/>
          <w:sz w:val="22"/>
          <w:szCs w:val="22"/>
        </w:rPr>
        <w:t xml:space="preserve"> </w:t>
      </w:r>
      <w:r w:rsidR="00BB7F06" w:rsidRPr="00576CC4">
        <w:rPr>
          <w:rFonts w:asciiTheme="majorBidi" w:hAnsiTheme="majorBidi" w:cstheme="majorBidi"/>
          <w:sz w:val="22"/>
          <w:szCs w:val="22"/>
        </w:rPr>
        <w:t>obligațiile</w:t>
      </w:r>
      <w:r w:rsidRPr="00576CC4">
        <w:rPr>
          <w:rFonts w:asciiTheme="majorBidi" w:hAnsiTheme="majorBidi" w:cstheme="majorBidi"/>
          <w:sz w:val="22"/>
          <w:szCs w:val="22"/>
        </w:rPr>
        <w:t xml:space="preserve"> Beneficiarului </w:t>
      </w:r>
    </w:p>
    <w:p w14:paraId="02DD068E" w14:textId="7669E25C"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w:t>
      </w:r>
      <w:r w:rsidR="003A2B87"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responsabilitatea îndeplinirii indicatorilor asumați în cadrul Proiectului, în </w:t>
      </w:r>
      <w:r w:rsidR="00BB7F06" w:rsidRPr="00576CC4">
        <w:rPr>
          <w:rFonts w:asciiTheme="majorBidi" w:hAnsiTheme="majorBidi" w:cstheme="majorBidi"/>
          <w:bCs/>
          <w:sz w:val="22"/>
          <w:szCs w:val="22"/>
        </w:rPr>
        <w:t>concordanță</w:t>
      </w:r>
      <w:r w:rsidRPr="00576CC4">
        <w:rPr>
          <w:rFonts w:asciiTheme="majorBidi" w:hAnsiTheme="majorBidi" w:cstheme="majorBidi"/>
          <w:bCs/>
          <w:sz w:val="22"/>
          <w:szCs w:val="22"/>
        </w:rPr>
        <w:t xml:space="preserve"> cu prevederile acestui contract, ale </w:t>
      </w:r>
      <w:r w:rsidR="00BB7F06" w:rsidRPr="00576CC4">
        <w:rPr>
          <w:rFonts w:asciiTheme="majorBidi" w:hAnsiTheme="majorBidi" w:cstheme="majorBidi"/>
          <w:bCs/>
          <w:sz w:val="22"/>
          <w:szCs w:val="22"/>
        </w:rPr>
        <w:t>legislației</w:t>
      </w:r>
      <w:r w:rsidRPr="00576CC4">
        <w:rPr>
          <w:rFonts w:asciiTheme="majorBidi" w:hAnsiTheme="majorBidi" w:cstheme="majorBidi"/>
          <w:bCs/>
          <w:sz w:val="22"/>
          <w:szCs w:val="22"/>
        </w:rPr>
        <w:t xml:space="preserve"> europene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aplicabile.</w:t>
      </w:r>
    </w:p>
    <w:p w14:paraId="6AD48323" w14:textId="3069D8D2"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începe implementarea Proiectului la data indicată în art. 2, alin. (2) al prezentului Contract.</w:t>
      </w:r>
    </w:p>
    <w:p w14:paraId="75B7C415" w14:textId="6BAC032A"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576CC4" w:rsidRDefault="00982F23">
      <w:pPr>
        <w:widowControl/>
        <w:numPr>
          <w:ilvl w:val="0"/>
          <w:numId w:val="3"/>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asigura accesul neîngrădit al </w:t>
      </w:r>
      <w:r w:rsidR="00BB7F06" w:rsidRPr="00576CC4">
        <w:rPr>
          <w:rFonts w:asciiTheme="majorBidi" w:hAnsiTheme="majorBidi" w:cstheme="majorBidi"/>
          <w:bCs/>
          <w:sz w:val="22"/>
          <w:szCs w:val="22"/>
        </w:rPr>
        <w:t>autorităților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europene cu </w:t>
      </w:r>
      <w:r w:rsidR="00BB7F06" w:rsidRPr="00576CC4">
        <w:rPr>
          <w:rFonts w:asciiTheme="majorBidi" w:hAnsiTheme="majorBidi" w:cstheme="majorBidi"/>
          <w:bCs/>
          <w:sz w:val="22"/>
          <w:szCs w:val="22"/>
        </w:rPr>
        <w:t>atribuții</w:t>
      </w:r>
      <w:r w:rsidRPr="00576CC4">
        <w:rPr>
          <w:rFonts w:asciiTheme="majorBidi" w:hAnsiTheme="majorBidi" w:cstheme="majorBidi"/>
          <w:bCs/>
          <w:sz w:val="22"/>
          <w:szCs w:val="22"/>
        </w:rPr>
        <w:t xml:space="preserve"> de verificare, control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audit, în limitele </w:t>
      </w:r>
      <w:r w:rsidR="00BB7F06" w:rsidRPr="00576CC4">
        <w:rPr>
          <w:rFonts w:asciiTheme="majorBidi" w:hAnsiTheme="majorBidi" w:cstheme="majorBidi"/>
          <w:bCs/>
          <w:sz w:val="22"/>
          <w:szCs w:val="22"/>
        </w:rPr>
        <w:t>competențelor</w:t>
      </w:r>
      <w:r w:rsidRPr="00576CC4">
        <w:rPr>
          <w:rFonts w:asciiTheme="majorBidi" w:hAnsiTheme="majorBidi" w:cstheme="majorBidi"/>
          <w:bCs/>
          <w:sz w:val="22"/>
          <w:szCs w:val="22"/>
        </w:rPr>
        <w:t xml:space="preserve"> ce le revin, în cazul în care </w:t>
      </w:r>
      <w:r w:rsidR="00BB7F06" w:rsidRPr="00576CC4">
        <w:rPr>
          <w:rFonts w:asciiTheme="majorBidi" w:hAnsiTheme="majorBidi" w:cstheme="majorBidi"/>
          <w:bCs/>
          <w:sz w:val="22"/>
          <w:szCs w:val="22"/>
        </w:rPr>
        <w:t>aceștia</w:t>
      </w:r>
      <w:r w:rsidRPr="00576CC4">
        <w:rPr>
          <w:rFonts w:asciiTheme="majorBidi" w:hAnsiTheme="majorBidi" w:cstheme="majorBidi"/>
          <w:bCs/>
          <w:sz w:val="22"/>
          <w:szCs w:val="22"/>
        </w:rPr>
        <w:t xml:space="preserve"> le efectuează verificări/controale/audit la </w:t>
      </w:r>
      <w:r w:rsidR="00BB7F06" w:rsidRPr="00576CC4">
        <w:rPr>
          <w:rFonts w:asciiTheme="majorBidi" w:hAnsiTheme="majorBidi" w:cstheme="majorBidi"/>
          <w:bCs/>
          <w:sz w:val="22"/>
          <w:szCs w:val="22"/>
        </w:rPr>
        <w:t>fața</w:t>
      </w:r>
      <w:r w:rsidRPr="00576CC4">
        <w:rPr>
          <w:rFonts w:asciiTheme="majorBidi" w:hAnsiTheme="majorBidi" w:cstheme="majorBidi"/>
          <w:bCs/>
          <w:sz w:val="22"/>
          <w:szCs w:val="22"/>
        </w:rPr>
        <w:t xml:space="preserve"> locului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solicită în scris </w:t>
      </w:r>
      <w:r w:rsidR="00BB7F06" w:rsidRPr="00576CC4">
        <w:rPr>
          <w:rFonts w:asciiTheme="majorBidi" w:hAnsiTheme="majorBidi" w:cstheme="majorBidi"/>
          <w:bCs/>
          <w:sz w:val="22"/>
          <w:szCs w:val="22"/>
        </w:rPr>
        <w:t>declarații</w:t>
      </w:r>
      <w:r w:rsidRPr="00576CC4">
        <w:rPr>
          <w:rFonts w:asciiTheme="majorBidi" w:hAnsiTheme="majorBidi" w:cstheme="majorBidi"/>
          <w:bCs/>
          <w:sz w:val="22"/>
          <w:szCs w:val="22"/>
        </w:rPr>
        <w:t xml:space="preserve">, documente, </w:t>
      </w:r>
      <w:r w:rsidR="00BB7F06" w:rsidRPr="00576CC4">
        <w:rPr>
          <w:rFonts w:asciiTheme="majorBidi" w:hAnsiTheme="majorBidi" w:cstheme="majorBidi"/>
          <w:bCs/>
          <w:sz w:val="22"/>
          <w:szCs w:val="22"/>
        </w:rPr>
        <w:t>informații</w:t>
      </w:r>
      <w:r w:rsidRPr="00576CC4">
        <w:rPr>
          <w:rFonts w:asciiTheme="majorBidi" w:hAnsiTheme="majorBidi" w:cstheme="majorBidi"/>
          <w:bCs/>
          <w:sz w:val="22"/>
          <w:szCs w:val="22"/>
        </w:rPr>
        <w:t>.</w:t>
      </w:r>
    </w:p>
    <w:p w14:paraId="27FB6F5B" w14:textId="104F30DE" w:rsidR="00982F23" w:rsidRPr="00576CC4" w:rsidRDefault="00982F23">
      <w:pPr>
        <w:widowControl/>
        <w:numPr>
          <w:ilvl w:val="0"/>
          <w:numId w:val="3"/>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vederea efectuării verificărilor prevăzute la alin. (5), Beneficiarul se angajează să acorde dreptul de acces la locurile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spațiile</w:t>
      </w:r>
      <w:r w:rsidRPr="00576CC4">
        <w:rPr>
          <w:rFonts w:asciiTheme="majorBidi" w:hAnsiTheme="majorBidi" w:cstheme="majorBidi"/>
          <w:bCs/>
          <w:sz w:val="22"/>
          <w:szCs w:val="22"/>
        </w:rPr>
        <w:t xml:space="preserve"> unde se implementează Proiectul, inclusiv acces la sistemele informatice care au legătură directă cu Proiectul,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să pună la </w:t>
      </w:r>
      <w:r w:rsidR="00BB7F06" w:rsidRPr="00576CC4">
        <w:rPr>
          <w:rFonts w:asciiTheme="majorBidi" w:hAnsiTheme="majorBidi" w:cstheme="majorBidi"/>
          <w:bCs/>
          <w:sz w:val="22"/>
          <w:szCs w:val="22"/>
        </w:rPr>
        <w:t>dispoziție</w:t>
      </w:r>
      <w:r w:rsidRPr="00576CC4">
        <w:rPr>
          <w:rFonts w:asciiTheme="majorBidi" w:hAnsiTheme="majorBidi" w:cstheme="majorBidi"/>
          <w:bCs/>
          <w:sz w:val="22"/>
          <w:szCs w:val="22"/>
        </w:rPr>
        <w:t xml:space="preserve"> documentele solicitate privind gestiunea tehnică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financiară, atât în format letric, cât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în format electronic. </w:t>
      </w:r>
    </w:p>
    <w:p w14:paraId="73EBBAB1" w14:textId="10D419F9"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Documentele trebuie să fie </w:t>
      </w:r>
      <w:r w:rsidR="00BB7F06" w:rsidRPr="00576CC4">
        <w:rPr>
          <w:rFonts w:asciiTheme="majorBidi" w:hAnsiTheme="majorBidi" w:cstheme="majorBidi"/>
          <w:bCs/>
          <w:sz w:val="22"/>
          <w:szCs w:val="22"/>
        </w:rPr>
        <w:t>ușor</w:t>
      </w:r>
      <w:r w:rsidRPr="00576CC4">
        <w:rPr>
          <w:rFonts w:asciiTheme="majorBidi" w:hAnsiTheme="majorBidi" w:cstheme="majorBidi"/>
          <w:bCs/>
          <w:sz w:val="22"/>
          <w:szCs w:val="22"/>
        </w:rPr>
        <w:t xml:space="preserve"> accesibile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arhivate astfel încât, să permită verificarea lor. Beneficiarul este obligat să informeze organismele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autoritățile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menționate</w:t>
      </w:r>
      <w:r w:rsidRPr="00576CC4">
        <w:rPr>
          <w:rFonts w:asciiTheme="majorBidi" w:hAnsiTheme="majorBidi" w:cstheme="majorBidi"/>
          <w:bCs/>
          <w:sz w:val="22"/>
          <w:szCs w:val="22"/>
        </w:rPr>
        <w:t xml:space="preserve"> la alin. (5) cu privire la locul arhivării documentelor, în termen de 3 zile lucrătoare de la transmiterea solicitării de către ME sau alt responsabil/organism abilitat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a asigura accesul neîngrădit al acestora la </w:t>
      </w:r>
      <w:r w:rsidR="00BB7F06" w:rsidRPr="00576CC4">
        <w:rPr>
          <w:rFonts w:asciiTheme="majorBidi" w:hAnsiTheme="majorBidi" w:cstheme="majorBidi"/>
          <w:bCs/>
          <w:sz w:val="22"/>
          <w:szCs w:val="22"/>
        </w:rPr>
        <w:t>documentație</w:t>
      </w:r>
      <w:r w:rsidRPr="00576CC4">
        <w:rPr>
          <w:rFonts w:asciiTheme="majorBidi" w:hAnsiTheme="majorBidi" w:cstheme="majorBidi"/>
          <w:bCs/>
          <w:sz w:val="22"/>
          <w:szCs w:val="22"/>
        </w:rPr>
        <w:t>, în locul respectiv.</w:t>
      </w:r>
    </w:p>
    <w:p w14:paraId="356600D4" w14:textId="4E1E869B"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576CC4" w:rsidRDefault="00982F23">
      <w:pPr>
        <w:pStyle w:val="ListParagraph"/>
        <w:widowControl/>
        <w:numPr>
          <w:ilvl w:val="0"/>
          <w:numId w:val="3"/>
        </w:numPr>
        <w:suppressAutoHyphen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va completa, la momentul semnării prezentului Contract de finanțare, următoarele declarații, care devin anexe la prezentul contract:</w:t>
      </w:r>
    </w:p>
    <w:p w14:paraId="792BDFCF" w14:textId="5B2293F0" w:rsidR="003A2B87"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asigurarea pistei de audit,</w:t>
      </w:r>
    </w:p>
    <w:p w14:paraId="77AE51CF" w14:textId="589256D2" w:rsidR="003A2B87"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asigurarea organizării contabilității,</w:t>
      </w:r>
    </w:p>
    <w:p w14:paraId="349EC5F5" w14:textId="76D5E3AF" w:rsidR="003A2B87" w:rsidRPr="00C373FD"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 xml:space="preserve">Declarație privind evitarea conflictului de interese, a neregulilor și </w:t>
      </w:r>
      <w:r w:rsidRPr="0005444F">
        <w:rPr>
          <w:rFonts w:asciiTheme="majorBidi" w:hAnsiTheme="majorBidi" w:cstheme="majorBidi"/>
          <w:bCs/>
          <w:sz w:val="22"/>
          <w:szCs w:val="22"/>
        </w:rPr>
        <w:t>fraudei,</w:t>
      </w:r>
      <w:r w:rsidR="002576BA" w:rsidRPr="0005444F">
        <w:rPr>
          <w:rFonts w:asciiTheme="majorBidi" w:hAnsiTheme="majorBidi" w:cstheme="majorBidi"/>
          <w:bCs/>
          <w:sz w:val="22"/>
          <w:szCs w:val="22"/>
        </w:rPr>
        <w:t xml:space="preserve"> </w:t>
      </w:r>
      <w:r w:rsidR="002576BA" w:rsidRPr="00C373FD">
        <w:rPr>
          <w:rFonts w:asciiTheme="majorBidi" w:hAnsiTheme="majorBidi" w:cstheme="majorBidi"/>
          <w:bCs/>
          <w:sz w:val="22"/>
          <w:szCs w:val="22"/>
        </w:rPr>
        <w:t>si a dublei finantari</w:t>
      </w:r>
    </w:p>
    <w:p w14:paraId="17F106AC" w14:textId="3A254E6F" w:rsidR="003A2B87" w:rsidRPr="0005444F"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05444F">
        <w:rPr>
          <w:rFonts w:asciiTheme="majorBidi" w:hAnsiTheme="majorBidi" w:cstheme="majorBidi"/>
          <w:bCs/>
          <w:sz w:val="22"/>
          <w:szCs w:val="22"/>
        </w:rPr>
        <w:t xml:space="preserve">Declarație privind utilizarea investiției finanțate </w:t>
      </w:r>
    </w:p>
    <w:p w14:paraId="516C3194" w14:textId="4AD675AF" w:rsidR="00982F23"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respectarea prevederilor legale în derularea achizițiilor publice.</w:t>
      </w:r>
    </w:p>
    <w:p w14:paraId="3EB6E7F0" w14:textId="77777777" w:rsidR="00982F23" w:rsidRPr="00576CC4" w:rsidRDefault="00982F23">
      <w:pPr>
        <w:pStyle w:val="ListParagraph"/>
        <w:widowControl/>
        <w:numPr>
          <w:ilvl w:val="0"/>
          <w:numId w:val="3"/>
        </w:numPr>
        <w:tabs>
          <w:tab w:val="left" w:pos="709"/>
        </w:tabs>
        <w:suppressAutoHyphen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lastRenderedPageBreak/>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576CC4">
        <w:rPr>
          <w:rFonts w:asciiTheme="majorBidi" w:hAnsiTheme="majorBidi" w:cstheme="majorBidi"/>
          <w:bCs/>
          <w:sz w:val="22"/>
          <w:szCs w:val="22"/>
        </w:rPr>
        <w:t>........</w:t>
      </w:r>
      <w:r w:rsidRPr="00576CC4">
        <w:rPr>
          <w:rFonts w:asciiTheme="majorBidi" w:hAnsiTheme="majorBidi" w:cstheme="majorBidi"/>
          <w:bCs/>
          <w:sz w:val="22"/>
          <w:szCs w:val="22"/>
        </w:rPr>
        <w:t>.</w:t>
      </w:r>
    </w:p>
    <w:p w14:paraId="57F3A15D" w14:textId="027BFE95"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trebuie să </w:t>
      </w:r>
      <w:r w:rsidR="00BB7F06" w:rsidRPr="00576CC4">
        <w:rPr>
          <w:rFonts w:asciiTheme="majorBidi" w:hAnsiTheme="majorBidi" w:cstheme="majorBidi"/>
          <w:bCs/>
          <w:sz w:val="22"/>
          <w:szCs w:val="22"/>
        </w:rPr>
        <w:t>țină</w:t>
      </w:r>
      <w:r w:rsidRPr="00576CC4">
        <w:rPr>
          <w:rFonts w:asciiTheme="majorBidi" w:hAnsiTheme="majorBidi" w:cstheme="majorBidi"/>
          <w:bCs/>
          <w:sz w:val="22"/>
          <w:szCs w:val="22"/>
        </w:rPr>
        <w:t xml:space="preserve"> o </w:t>
      </w:r>
      <w:r w:rsidR="00BB7F06" w:rsidRPr="00576CC4">
        <w:rPr>
          <w:rFonts w:asciiTheme="majorBidi" w:hAnsiTheme="majorBidi" w:cstheme="majorBidi"/>
          <w:bCs/>
          <w:sz w:val="22"/>
          <w:szCs w:val="22"/>
        </w:rPr>
        <w:t>evidență</w:t>
      </w:r>
      <w:r w:rsidRPr="00576CC4">
        <w:rPr>
          <w:rFonts w:asciiTheme="majorBidi" w:hAnsiTheme="majorBidi" w:cstheme="majorBidi"/>
          <w:bCs/>
          <w:sz w:val="22"/>
          <w:szCs w:val="22"/>
        </w:rPr>
        <w:t xml:space="preserve"> contabilă analitică a Proiectului, utilizând conturi analitice distincte pentru reflectarea tuturor </w:t>
      </w:r>
      <w:r w:rsidR="00BB7F06" w:rsidRPr="00576CC4">
        <w:rPr>
          <w:rFonts w:asciiTheme="majorBidi" w:hAnsiTheme="majorBidi" w:cstheme="majorBidi"/>
          <w:bCs/>
          <w:sz w:val="22"/>
          <w:szCs w:val="22"/>
        </w:rPr>
        <w:t>operațiunilor</w:t>
      </w:r>
      <w:r w:rsidRPr="00576CC4">
        <w:rPr>
          <w:rFonts w:asciiTheme="majorBidi" w:hAnsiTheme="majorBidi" w:cstheme="majorBidi"/>
          <w:bCs/>
          <w:sz w:val="22"/>
          <w:szCs w:val="22"/>
        </w:rPr>
        <w:t xml:space="preserve"> referitoare la implementarea Proiectului, în conformitate cu </w:t>
      </w:r>
      <w:r w:rsidR="00BB7F06" w:rsidRPr="00576CC4">
        <w:rPr>
          <w:rFonts w:asciiTheme="majorBidi" w:hAnsiTheme="majorBidi" w:cstheme="majorBidi"/>
          <w:bCs/>
          <w:sz w:val="22"/>
          <w:szCs w:val="22"/>
        </w:rPr>
        <w:t>dispozițiile</w:t>
      </w:r>
      <w:r w:rsidRPr="00576CC4">
        <w:rPr>
          <w:rFonts w:asciiTheme="majorBidi" w:hAnsiTheme="majorBidi" w:cstheme="majorBidi"/>
          <w:bCs/>
          <w:sz w:val="22"/>
          <w:szCs w:val="22"/>
        </w:rPr>
        <w:t xml:space="preserve"> legale. Responsabilitatea și răspunderea pentru gestiunea financiară a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 xml:space="preserve"> revine în întregime Beneficiarului, conform prevederilor legale în vigoare și Contractului de finanțare. </w:t>
      </w:r>
    </w:p>
    <w:p w14:paraId="38824EF1" w14:textId="42C5DF5F"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implementarea Proiectului presupune </w:t>
      </w:r>
      <w:r w:rsidR="00BB7F06" w:rsidRPr="00576CC4">
        <w:rPr>
          <w:rFonts w:asciiTheme="majorBidi" w:hAnsiTheme="majorBidi" w:cstheme="majorBidi"/>
          <w:bCs/>
          <w:sz w:val="22"/>
          <w:szCs w:val="22"/>
        </w:rPr>
        <w:t>achiziționarea</w:t>
      </w:r>
      <w:r w:rsidRPr="00576CC4">
        <w:rPr>
          <w:rFonts w:asciiTheme="majorBidi" w:hAnsiTheme="majorBidi" w:cstheme="majorBidi"/>
          <w:bCs/>
          <w:sz w:val="22"/>
          <w:szCs w:val="22"/>
        </w:rPr>
        <w:t xml:space="preserve"> de bunuri, servicii ori lucrări, 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respecta prevederile </w:t>
      </w:r>
      <w:r w:rsidR="00BB7F06" w:rsidRPr="00576CC4">
        <w:rPr>
          <w:rFonts w:asciiTheme="majorBidi" w:hAnsiTheme="majorBidi" w:cstheme="majorBidi"/>
          <w:bCs/>
          <w:sz w:val="22"/>
          <w:szCs w:val="22"/>
        </w:rPr>
        <w:t>legislației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în vigoare în domeniul </w:t>
      </w:r>
      <w:r w:rsidR="00BB7F06" w:rsidRPr="00576CC4">
        <w:rPr>
          <w:rFonts w:asciiTheme="majorBidi" w:hAnsiTheme="majorBidi" w:cstheme="majorBidi"/>
          <w:bCs/>
          <w:sz w:val="22"/>
          <w:szCs w:val="22"/>
        </w:rPr>
        <w:t>achizițiilor</w:t>
      </w:r>
      <w:r w:rsidRPr="00576CC4">
        <w:rPr>
          <w:rFonts w:asciiTheme="majorBidi" w:hAnsiTheme="majorBidi" w:cstheme="majorBidi"/>
          <w:bCs/>
          <w:sz w:val="22"/>
          <w:szCs w:val="22"/>
        </w:rPr>
        <w:t xml:space="preserve"> publice. Totodată, Beneficiarul are obligația de a transmite în sistemul informatic </w:t>
      </w:r>
      <w:r w:rsidR="008F3FDD" w:rsidRPr="00576CC4">
        <w:rPr>
          <w:rFonts w:asciiTheme="majorBidi" w:hAnsiTheme="majorBidi" w:cstheme="majorBidi"/>
          <w:bCs/>
          <w:sz w:val="22"/>
          <w:szCs w:val="22"/>
        </w:rPr>
        <w:t>....................</w:t>
      </w:r>
      <w:r w:rsidRPr="00576CC4">
        <w:rPr>
          <w:rFonts w:asciiTheme="majorBidi" w:hAnsiTheme="majorBidi" w:cstheme="majorBidi"/>
          <w:bCs/>
          <w:sz w:val="22"/>
          <w:szCs w:val="22"/>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întocmirii și transmiterii către ME a Rapoartelor de progres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a pune la dispoziția Ministerului Educației documentele justificative ce însoțesc cererea de transfer, spre a fi verificate de către ME, în vederea autorizării acesteia. </w:t>
      </w:r>
    </w:p>
    <w:p w14:paraId="042A0A5E" w14:textId="4EBAA831"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576CC4">
        <w:rPr>
          <w:rFonts w:asciiTheme="majorBidi" w:hAnsiTheme="majorBidi" w:cstheme="majorBidi"/>
          <w:bCs/>
          <w:sz w:val="22"/>
          <w:szCs w:val="22"/>
        </w:rPr>
        <w:t>conformității</w:t>
      </w:r>
      <w:r w:rsidRPr="00576CC4">
        <w:rPr>
          <w:rFonts w:asciiTheme="majorBidi" w:hAnsiTheme="majorBidi" w:cstheme="majorBidi"/>
          <w:bCs/>
          <w:sz w:val="22"/>
          <w:szCs w:val="22"/>
        </w:rPr>
        <w:t xml:space="preserve"> cu politicile Uniunii Europene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privind </w:t>
      </w:r>
      <w:r w:rsidR="00BB7F06" w:rsidRPr="00576CC4">
        <w:rPr>
          <w:rFonts w:asciiTheme="majorBidi" w:hAnsiTheme="majorBidi" w:cstheme="majorBidi"/>
          <w:bCs/>
          <w:sz w:val="22"/>
          <w:szCs w:val="22"/>
        </w:rPr>
        <w:t>achizițiile</w:t>
      </w:r>
      <w:r w:rsidRPr="00576CC4">
        <w:rPr>
          <w:rFonts w:asciiTheme="majorBidi" w:hAnsiTheme="majorBidi" w:cstheme="majorBidi"/>
          <w:bCs/>
          <w:sz w:val="22"/>
          <w:szCs w:val="22"/>
        </w:rPr>
        <w:t xml:space="preserve"> publice, egalitatea de </w:t>
      </w:r>
      <w:r w:rsidR="00BB7F06" w:rsidRPr="00576CC4">
        <w:rPr>
          <w:rFonts w:asciiTheme="majorBidi" w:hAnsiTheme="majorBidi" w:cstheme="majorBidi"/>
          <w:bCs/>
          <w:sz w:val="22"/>
          <w:szCs w:val="22"/>
        </w:rPr>
        <w:t>șanse</w:t>
      </w:r>
      <w:r w:rsidRPr="00576CC4">
        <w:rPr>
          <w:rFonts w:asciiTheme="majorBidi" w:hAnsiTheme="majorBidi" w:cstheme="majorBidi"/>
          <w:bCs/>
          <w:sz w:val="22"/>
          <w:szCs w:val="22"/>
        </w:rPr>
        <w:t xml:space="preserve">, dezvoltarea durabilă, informarea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publicitatea.</w:t>
      </w:r>
    </w:p>
    <w:p w14:paraId="5BDC633B" w14:textId="11250255"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furniza ME orice document sau </w:t>
      </w:r>
      <w:r w:rsidR="00BB7F06" w:rsidRPr="00576CC4">
        <w:rPr>
          <w:rFonts w:asciiTheme="majorBidi" w:hAnsiTheme="majorBidi" w:cstheme="majorBidi"/>
          <w:bCs/>
          <w:sz w:val="22"/>
          <w:szCs w:val="22"/>
        </w:rPr>
        <w:t>informație</w:t>
      </w:r>
      <w:r w:rsidRPr="00576CC4">
        <w:rPr>
          <w:rFonts w:asciiTheme="majorBidi" w:hAnsiTheme="majorBidi" w:cstheme="majorBidi"/>
          <w:bCs/>
          <w:sz w:val="22"/>
          <w:szCs w:val="22"/>
        </w:rPr>
        <w:t xml:space="preserve"> solicitată cu privire la implementarea Proiectului, în termenul indicat.</w:t>
      </w:r>
    </w:p>
    <w:p w14:paraId="30D7B948" w14:textId="01A029CD"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este obligat să realizeze măsurile de informare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publicitate în conformitate cu Manualul de Identitate Vizuală PNRR.</w:t>
      </w:r>
    </w:p>
    <w:p w14:paraId="5EEBD9BE" w14:textId="47DD2A3E"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se realizează verificări la fața locului, Beneficiarul are obligația să participe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să invite persoanele care sunt implicate în implementarea Proiectului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care pot furniza </w:t>
      </w:r>
      <w:r w:rsidR="00BB7F06" w:rsidRPr="00576CC4">
        <w:rPr>
          <w:rFonts w:asciiTheme="majorBidi" w:hAnsiTheme="majorBidi" w:cstheme="majorBidi"/>
          <w:bCs/>
          <w:sz w:val="22"/>
          <w:szCs w:val="22"/>
        </w:rPr>
        <w:t>informațiile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documentele necesare verificărilor, conform solicitărilor ME.</w:t>
      </w:r>
    </w:p>
    <w:p w14:paraId="190D3F05" w14:textId="07E4889F"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w:t>
      </w:r>
      <w:r w:rsidR="00BB7F06" w:rsidRPr="00576CC4">
        <w:rPr>
          <w:rFonts w:asciiTheme="majorBidi" w:hAnsiTheme="majorBidi" w:cstheme="majorBidi"/>
          <w:bCs/>
          <w:sz w:val="22"/>
          <w:szCs w:val="22"/>
        </w:rPr>
        <w:t>își</w:t>
      </w:r>
      <w:r w:rsidRPr="00576CC4">
        <w:rPr>
          <w:rFonts w:asciiTheme="majorBidi" w:hAnsiTheme="majorBidi" w:cstheme="majorBidi"/>
          <w:bCs/>
          <w:sz w:val="22"/>
          <w:szCs w:val="22"/>
        </w:rPr>
        <w:t xml:space="preserve"> exprimă acordul cu privire la prelucrarea, stocarea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arhivarea datelor </w:t>
      </w:r>
      <w:r w:rsidR="00BB7F06" w:rsidRPr="00576CC4">
        <w:rPr>
          <w:rFonts w:asciiTheme="majorBidi" w:hAnsiTheme="majorBidi" w:cstheme="majorBidi"/>
          <w:bCs/>
          <w:sz w:val="22"/>
          <w:szCs w:val="22"/>
        </w:rPr>
        <w:t>obținute</w:t>
      </w:r>
      <w:r w:rsidRPr="00576CC4">
        <w:rPr>
          <w:rFonts w:asciiTheme="majorBidi" w:hAnsiTheme="majorBidi" w:cstheme="majorBidi"/>
          <w:bCs/>
          <w:sz w:val="22"/>
          <w:szCs w:val="22"/>
        </w:rPr>
        <w:t xml:space="preserve"> pe parcursul </w:t>
      </w:r>
      <w:r w:rsidR="00BB7F06" w:rsidRPr="00576CC4">
        <w:rPr>
          <w:rFonts w:asciiTheme="majorBidi" w:hAnsiTheme="majorBidi" w:cstheme="majorBidi"/>
          <w:bCs/>
          <w:sz w:val="22"/>
          <w:szCs w:val="22"/>
        </w:rPr>
        <w:t>desfășurării</w:t>
      </w:r>
      <w:r w:rsidRPr="00576CC4">
        <w:rPr>
          <w:rFonts w:asciiTheme="majorBidi" w:hAnsiTheme="majorBidi" w:cstheme="majorBidi"/>
          <w:bCs/>
          <w:sz w:val="22"/>
          <w:szCs w:val="22"/>
        </w:rPr>
        <w:t xml:space="preserve">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 vederea utilizării, pe toată durata, precum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după încetarea acestuia, în scopul verificării modului de implementare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 respectării clauzelor contractuale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 </w:t>
      </w:r>
      <w:r w:rsidR="00BB7F06" w:rsidRPr="00576CC4">
        <w:rPr>
          <w:rFonts w:asciiTheme="majorBidi" w:hAnsiTheme="majorBidi" w:cstheme="majorBidi"/>
          <w:bCs/>
          <w:sz w:val="22"/>
          <w:szCs w:val="22"/>
        </w:rPr>
        <w:t>legislației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comunitare.</w:t>
      </w:r>
    </w:p>
    <w:p w14:paraId="2C3752FF" w14:textId="45AEEF2B"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respecta ordinele/instrucțiunile/procedurile emise de ME cu privire la implementarea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w:t>
      </w:r>
    </w:p>
    <w:p w14:paraId="6177D29B" w14:textId="7D8235DA"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respecta graficul activităților din cererea de finanțare aprobată.</w:t>
      </w:r>
    </w:p>
    <w:p w14:paraId="4CD77992" w14:textId="4C988919"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w:t>
      </w:r>
      <w:r w:rsidR="00BB7F06" w:rsidRPr="00576CC4">
        <w:rPr>
          <w:rFonts w:asciiTheme="majorBidi" w:hAnsiTheme="majorBidi" w:cstheme="majorBidi"/>
          <w:bCs/>
          <w:sz w:val="22"/>
          <w:szCs w:val="22"/>
        </w:rPr>
        <w:t>menține</w:t>
      </w:r>
      <w:r w:rsidRPr="00576CC4">
        <w:rPr>
          <w:rFonts w:asciiTheme="majorBidi" w:hAnsiTheme="majorBidi" w:cstheme="majorBidi"/>
          <w:bCs/>
          <w:sz w:val="22"/>
          <w:szCs w:val="22"/>
        </w:rPr>
        <w:t xml:space="preserve"> o capacitate </w:t>
      </w:r>
      <w:r w:rsidR="00BB7F06" w:rsidRPr="00576CC4">
        <w:rPr>
          <w:rFonts w:asciiTheme="majorBidi" w:hAnsiTheme="majorBidi" w:cstheme="majorBidi"/>
          <w:bCs/>
          <w:sz w:val="22"/>
          <w:szCs w:val="22"/>
        </w:rPr>
        <w:t>instituțională</w:t>
      </w:r>
      <w:r w:rsidRPr="00576CC4">
        <w:rPr>
          <w:rFonts w:asciiTheme="majorBidi" w:hAnsiTheme="majorBidi" w:cstheme="majorBidi"/>
          <w:bCs/>
          <w:sz w:val="22"/>
          <w:szCs w:val="22"/>
        </w:rPr>
        <w:t xml:space="preserve"> adecvată, prin alocarea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menținerea</w:t>
      </w:r>
      <w:r w:rsidRPr="00576CC4">
        <w:rPr>
          <w:rFonts w:asciiTheme="majorBidi" w:hAnsiTheme="majorBidi" w:cstheme="majorBidi"/>
          <w:bCs/>
          <w:sz w:val="22"/>
          <w:szCs w:val="22"/>
        </w:rPr>
        <w:t xml:space="preserve"> de personal suficient </w:t>
      </w:r>
      <w:r w:rsidR="00BB7F06" w:rsidRPr="00576CC4">
        <w:rPr>
          <w:rFonts w:asciiTheme="majorBidi" w:hAnsiTheme="majorBidi" w:cstheme="majorBidi"/>
          <w:bCs/>
          <w:sz w:val="22"/>
          <w:szCs w:val="22"/>
        </w:rPr>
        <w:t>activității</w:t>
      </w:r>
      <w:r w:rsidRPr="00576CC4">
        <w:rPr>
          <w:rFonts w:asciiTheme="majorBidi" w:hAnsiTheme="majorBidi" w:cstheme="majorBidi"/>
          <w:bCs/>
          <w:sz w:val="22"/>
          <w:szCs w:val="22"/>
        </w:rPr>
        <w:t xml:space="preserve"> de implementare a Proiectului.</w:t>
      </w:r>
    </w:p>
    <w:p w14:paraId="015FBA26" w14:textId="43C15BC7"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aplica pe toate documentele originale (facturi, bonuri fiscale, ordine de </w:t>
      </w:r>
      <w:r w:rsidRPr="00576CC4">
        <w:rPr>
          <w:rFonts w:asciiTheme="majorBidi" w:hAnsiTheme="majorBidi" w:cstheme="majorBidi"/>
          <w:bCs/>
          <w:sz w:val="22"/>
          <w:szCs w:val="22"/>
        </w:rPr>
        <w:lastRenderedPageBreak/>
        <w:t xml:space="preserve">deplasare, state de salarii), pe baza cărora se înregistrează în contabilitatea Beneficiarului cheltuielile efectuate în cadrul Proiectului, </w:t>
      </w:r>
      <w:r w:rsidR="00BB7F06" w:rsidRPr="00576CC4">
        <w:rPr>
          <w:rFonts w:asciiTheme="majorBidi" w:hAnsiTheme="majorBidi" w:cstheme="majorBidi"/>
          <w:bCs/>
          <w:sz w:val="22"/>
          <w:szCs w:val="22"/>
        </w:rPr>
        <w:t>mențiunea</w:t>
      </w:r>
      <w:r w:rsidRPr="00576CC4">
        <w:rPr>
          <w:rFonts w:asciiTheme="majorBidi" w:hAnsiTheme="majorBidi" w:cstheme="majorBidi"/>
          <w:bCs/>
          <w:sz w:val="22"/>
          <w:szCs w:val="22"/>
        </w:rPr>
        <w:t xml:space="preserve"> "</w:t>
      </w:r>
      <w:r w:rsidR="00085083" w:rsidRPr="00576CC4">
        <w:rPr>
          <w:rFonts w:asciiTheme="majorBidi" w:hAnsiTheme="majorBidi" w:cstheme="majorBidi"/>
          <w:bCs/>
          <w:sz w:val="22"/>
          <w:szCs w:val="22"/>
        </w:rPr>
        <w:t>.............</w:t>
      </w:r>
      <w:r w:rsidR="001648F8" w:rsidRPr="00576CC4">
        <w:rPr>
          <w:rFonts w:asciiTheme="majorBidi" w:hAnsiTheme="majorBidi" w:cstheme="majorBidi"/>
          <w:bCs/>
          <w:sz w:val="22"/>
          <w:szCs w:val="22"/>
        </w:rPr>
        <w:t>(dotare preuniversitar)</w:t>
      </w:r>
      <w:r w:rsidRPr="00576CC4">
        <w:rPr>
          <w:rFonts w:asciiTheme="majorBidi" w:hAnsiTheme="majorBidi" w:cstheme="majorBidi"/>
          <w:bCs/>
          <w:sz w:val="22"/>
          <w:szCs w:val="22"/>
        </w:rPr>
        <w:t xml:space="preserve">". </w:t>
      </w:r>
    </w:p>
    <w:p w14:paraId="5074EAB1" w14:textId="14D8AD89"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transmite către ME dosarele de </w:t>
      </w:r>
      <w:r w:rsidR="00BB7F06" w:rsidRPr="00576CC4">
        <w:rPr>
          <w:rFonts w:asciiTheme="majorBidi" w:hAnsiTheme="majorBidi" w:cstheme="majorBidi"/>
          <w:bCs/>
          <w:sz w:val="22"/>
          <w:szCs w:val="22"/>
        </w:rPr>
        <w:t>achiziție</w:t>
      </w:r>
      <w:r w:rsidRPr="00576CC4">
        <w:rPr>
          <w:rFonts w:asciiTheme="majorBidi" w:hAnsiTheme="majorBidi" w:cstheme="majorBidi"/>
          <w:bCs/>
          <w:sz w:val="22"/>
          <w:szCs w:val="22"/>
        </w:rPr>
        <w:t xml:space="preserve"> publică, în vederea efectuării verificării acestora, conform instrucțiunilor specifice de lucru.</w:t>
      </w:r>
    </w:p>
    <w:p w14:paraId="305C6C8F" w14:textId="57862E3F"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p>
    <w:p w14:paraId="64BD6A3C" w14:textId="158146F0"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ca fiecare cerere de transfer transmisă să reflecte separat, pentru fiecare an calendaristic, cheltuielile efectuate în cadrul Proiectului.</w:t>
      </w:r>
    </w:p>
    <w:p w14:paraId="51A17A27" w14:textId="5A7F7D66"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finaliza Proiectul în perioada de eligibilitate a cheltuielilor.</w:t>
      </w:r>
    </w:p>
    <w:p w14:paraId="3AD81BC3" w14:textId="67FA8F30"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transmite ME, până la data de 5 decembrie a fiecărui an lista </w:t>
      </w:r>
      <w:r w:rsidR="00BB7F06" w:rsidRPr="00576CC4">
        <w:rPr>
          <w:rFonts w:asciiTheme="majorBidi" w:hAnsiTheme="majorBidi" w:cstheme="majorBidi"/>
          <w:bCs/>
          <w:sz w:val="22"/>
          <w:szCs w:val="22"/>
        </w:rPr>
        <w:t>achizițiilor</w:t>
      </w:r>
      <w:r w:rsidRPr="00576CC4">
        <w:rPr>
          <w:rFonts w:asciiTheme="majorBidi" w:hAnsiTheme="majorBidi" w:cstheme="majorBidi"/>
          <w:bCs/>
          <w:sz w:val="22"/>
          <w:szCs w:val="22"/>
        </w:rPr>
        <w:t xml:space="preserve"> publice planificate a fi realizate în anul următor în cadrul Proiectului. </w:t>
      </w:r>
    </w:p>
    <w:p w14:paraId="0FADC968" w14:textId="33F50E38"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obligația de a transmite datele și informațiile cu privire la Beneficiarii reali ai fondurilor alocate în cadrul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53AF24D7"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1C850889" w14:textId="7F4CAEDC" w:rsidR="00697D64" w:rsidRDefault="00697D64" w:rsidP="00697D64">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1C4EBE">
        <w:rPr>
          <w:rFonts w:asciiTheme="majorBidi" w:hAnsiTheme="majorBidi" w:cstheme="majorBidi"/>
        </w:rPr>
        <w:t>La finalizarea perioadei de implementare a Proiectului, dreptul de proprietate asupra bunurilor achiziționate va fi transferat cu titlul gratuit fiecărei unități de învățământ/unități conexe eligibilă care este utilizator al investițiilor finanțate prin prezentul apel</w:t>
      </w:r>
      <w:r w:rsidR="003739D6" w:rsidRPr="00576CC4">
        <w:rPr>
          <w:rFonts w:asciiTheme="majorBidi" w:hAnsiTheme="majorBidi" w:cstheme="majorBidi"/>
          <w:bCs/>
          <w:sz w:val="22"/>
          <w:szCs w:val="22"/>
        </w:rPr>
        <w:t>.</w:t>
      </w:r>
      <w:bookmarkStart w:id="1" w:name="_Hlk127185457"/>
    </w:p>
    <w:p w14:paraId="4D512917" w14:textId="7E4AF424" w:rsidR="00697D64" w:rsidRPr="00697D64" w:rsidRDefault="00697D64" w:rsidP="00697D64">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697D64">
        <w:rPr>
          <w:rFonts w:asciiTheme="majorBidi" w:hAnsiTheme="majorBidi" w:cstheme="majorBidi"/>
        </w:rPr>
        <w:t>Perioada de implementare a proiectului se încheie după finalizarea tuturor achizițiilor, efectuarea recepțiilor și punerii în funcțiune / montare, conform prevederilor contractuale</w:t>
      </w:r>
      <w:bookmarkEnd w:id="1"/>
    </w:p>
    <w:p w14:paraId="4314046C"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p>
    <w:p w14:paraId="71FA792D" w14:textId="1E52F8CD"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Pr>
          <w:rFonts w:asciiTheme="majorBidi" w:hAnsiTheme="majorBidi" w:cstheme="majorBidi"/>
          <w:bCs/>
          <w:sz w:val="22"/>
          <w:szCs w:val="22"/>
        </w:rPr>
        <w:t xml:space="preserve">Art. </w:t>
      </w:r>
      <w:r w:rsidR="00EF22B5">
        <w:rPr>
          <w:rFonts w:asciiTheme="majorBidi" w:hAnsiTheme="majorBidi" w:cstheme="majorBidi"/>
          <w:bCs/>
          <w:sz w:val="22"/>
          <w:szCs w:val="22"/>
        </w:rPr>
        <w:t>6</w:t>
      </w:r>
      <w:r w:rsidRPr="007326EA">
        <w:rPr>
          <w:rFonts w:asciiTheme="majorBidi" w:hAnsiTheme="majorBidi" w:cstheme="majorBidi"/>
          <w:bCs/>
          <w:sz w:val="22"/>
          <w:szCs w:val="22"/>
        </w:rPr>
        <w:t xml:space="preserve">.  </w:t>
      </w:r>
    </w:p>
    <w:p w14:paraId="31079A4D"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(1) Părțile se angajează:</w:t>
      </w:r>
    </w:p>
    <w:p w14:paraId="0BB745A1"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a)</w:t>
      </w:r>
      <w:r w:rsidRPr="007326EA">
        <w:rPr>
          <w:rFonts w:asciiTheme="majorBidi" w:hAnsiTheme="majorBidi" w:cstheme="majorBidi"/>
          <w:bCs/>
          <w:sz w:val="22"/>
          <w:szCs w:val="22"/>
        </w:rPr>
        <w:tab/>
        <w:t xml:space="preserve"> să îndeplinească în mod corespunzător obligaţiile, atribuţiile și responsabilităţile ce le revin în baza prezentului Contract de finanțare, cu respectarea principiilor transparenţei, a unui management adecvat și a bunei gestiuni financiare, în conformitate cu prevederile legislaţiei europene şi naţionale şi cu procedurile interne;</w:t>
      </w:r>
    </w:p>
    <w:p w14:paraId="10F6FA2C"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b)</w:t>
      </w:r>
      <w:r w:rsidRPr="007326EA">
        <w:rPr>
          <w:rFonts w:asciiTheme="majorBidi" w:hAnsiTheme="majorBidi" w:cstheme="majorBidi"/>
          <w:bCs/>
          <w:sz w:val="22"/>
          <w:szCs w:val="22"/>
        </w:rPr>
        <w:tab/>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6DE824CD"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c)</w:t>
      </w:r>
      <w:r w:rsidRPr="007326EA">
        <w:rPr>
          <w:rFonts w:asciiTheme="majorBidi" w:hAnsiTheme="majorBidi" w:cstheme="majorBidi"/>
          <w:bCs/>
          <w:sz w:val="22"/>
          <w:szCs w:val="22"/>
        </w:rPr>
        <w:tab/>
        <w:t xml:space="preserve">să întreprindă toate diligențele necesare pentru prevenirea, depistarea, constatarea  și corectarea fraudei, a corupției și a conflictelor de interese, astfel cum sunt definite la art. 61, alin. (2) și (3) din Regulamentul </w:t>
      </w:r>
      <w:r w:rsidRPr="007326EA">
        <w:rPr>
          <w:rFonts w:asciiTheme="majorBidi" w:hAnsiTheme="majorBidi" w:cstheme="majorBidi"/>
          <w:bCs/>
          <w:sz w:val="22"/>
          <w:szCs w:val="22"/>
        </w:rPr>
        <w:lastRenderedPageBreak/>
        <w:t>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7DD8BCDD"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d)</w:t>
      </w:r>
      <w:r w:rsidRPr="007326EA">
        <w:rPr>
          <w:rFonts w:asciiTheme="majorBidi" w:hAnsiTheme="majorBidi" w:cstheme="majorBidi"/>
          <w:bCs/>
          <w:sz w:val="22"/>
          <w:szCs w:val="22"/>
        </w:rPr>
        <w:tab/>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7ED255CE"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(2)</w:t>
      </w:r>
      <w:r w:rsidRPr="007326EA">
        <w:rPr>
          <w:rFonts w:asciiTheme="majorBidi" w:hAnsiTheme="majorBidi" w:cstheme="majorBidi"/>
          <w:bCs/>
          <w:sz w:val="22"/>
          <w:szCs w:val="22"/>
        </w:rPr>
        <w:tab/>
        <w:t>Părțile utilizează reguli şi proceduri care să asigure respectarea următoarelor principii:</w:t>
      </w:r>
    </w:p>
    <w:p w14:paraId="6632B2D9"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a) o bună gestiune financiară bazată pe aplicarea principiilor economicităţii, eficacităţii şi eficienţei;</w:t>
      </w:r>
    </w:p>
    <w:p w14:paraId="42042824"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b) respectarea principiilor de liberă concurenţă şi de tratament egal şi nediscriminatoriu;</w:t>
      </w:r>
    </w:p>
    <w:p w14:paraId="3484C9D7"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14:paraId="654011FF"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 xml:space="preserve">d) prevenirea apariției fraudei și corupției prin identificarea și analiza factorilor de risc și vulnerabilităților; </w:t>
      </w:r>
    </w:p>
    <w:p w14:paraId="65FF5C1F" w14:textId="77777777" w:rsidR="007326EA" w:rsidRPr="007326EA"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e) prevenirea apariţiei situaţiilor de conflict de interese în cursul întregii proceduri de selecţie a proiectelor de finanţat, precum și ulterior acestei proceduri;;</w:t>
      </w:r>
    </w:p>
    <w:p w14:paraId="773382F8" w14:textId="54B4A93C" w:rsidR="00FA2190"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r w:rsidRPr="007326EA">
        <w:rPr>
          <w:rFonts w:asciiTheme="majorBidi" w:hAnsiTheme="majorBidi" w:cstheme="majorBidi"/>
          <w:bCs/>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1F1CBD96" w14:textId="127CBD5D" w:rsidR="002576BA" w:rsidRPr="00C373FD" w:rsidRDefault="002576BA" w:rsidP="002576BA">
      <w:pPr>
        <w:pBdr>
          <w:top w:val="nil"/>
          <w:left w:val="nil"/>
          <w:bottom w:val="nil"/>
          <w:right w:val="nil"/>
          <w:between w:val="nil"/>
        </w:pBdr>
        <w:spacing w:line="276" w:lineRule="auto"/>
        <w:jc w:val="both"/>
        <w:rPr>
          <w:rFonts w:asciiTheme="majorBidi" w:hAnsiTheme="majorBidi" w:cstheme="majorBidi"/>
          <w:bCs/>
          <w:sz w:val="22"/>
          <w:szCs w:val="22"/>
        </w:rPr>
      </w:pPr>
      <w:r>
        <w:rPr>
          <w:rFonts w:asciiTheme="majorBidi" w:hAnsiTheme="majorBidi" w:cstheme="majorBidi"/>
          <w:bCs/>
          <w:sz w:val="22"/>
          <w:szCs w:val="22"/>
        </w:rPr>
        <w:t>3</w:t>
      </w:r>
      <w:r>
        <w:rPr>
          <w:rFonts w:asciiTheme="majorBidi" w:hAnsiTheme="majorBidi" w:cstheme="majorBidi"/>
          <w:bCs/>
          <w:sz w:val="22"/>
          <w:szCs w:val="22"/>
          <w:lang w:val="en-US"/>
        </w:rPr>
        <w:t xml:space="preserve">) </w:t>
      </w:r>
      <w:r w:rsidRPr="00C373FD">
        <w:rPr>
          <w:rFonts w:asciiTheme="majorBidi" w:hAnsiTheme="majorBidi" w:cstheme="majorBidi"/>
          <w:bCs/>
          <w:sz w:val="22"/>
          <w:szCs w:val="22"/>
        </w:rPr>
        <w:t xml:space="preserve">Părțile cooperează în vederea verificărilor, analizelor, auditurilor și investigațiilor realizate de organismele </w:t>
      </w:r>
      <w:r w:rsidR="002E182B" w:rsidRPr="00C373FD">
        <w:rPr>
          <w:rFonts w:asciiTheme="majorBidi" w:hAnsiTheme="majorBidi" w:cstheme="majorBidi"/>
          <w:bCs/>
          <w:sz w:val="22"/>
          <w:szCs w:val="22"/>
        </w:rPr>
        <w:t xml:space="preserve"> de control </w:t>
      </w:r>
      <w:r w:rsidRPr="00C373FD">
        <w:rPr>
          <w:rFonts w:asciiTheme="majorBidi" w:hAnsiTheme="majorBidi" w:cstheme="majorBidi"/>
          <w:bCs/>
          <w:sz w:val="22"/>
          <w:szCs w:val="22"/>
        </w:rPr>
        <w:t>și furnizează toate informațiile și documentele solicitate în scopul lor.</w:t>
      </w:r>
    </w:p>
    <w:p w14:paraId="2CA1E714" w14:textId="56795A0C" w:rsidR="002576BA" w:rsidRPr="00C373FD" w:rsidRDefault="002576BA" w:rsidP="002576BA">
      <w:pPr>
        <w:pBdr>
          <w:top w:val="nil"/>
          <w:left w:val="nil"/>
          <w:bottom w:val="nil"/>
          <w:right w:val="nil"/>
          <w:between w:val="nil"/>
        </w:pBdr>
        <w:spacing w:line="276" w:lineRule="auto"/>
        <w:jc w:val="both"/>
        <w:rPr>
          <w:rFonts w:asciiTheme="majorBidi" w:hAnsiTheme="majorBidi" w:cstheme="majorBidi"/>
          <w:bCs/>
          <w:sz w:val="22"/>
          <w:szCs w:val="22"/>
        </w:rPr>
      </w:pPr>
      <w:r w:rsidRPr="00C373FD">
        <w:rPr>
          <w:rFonts w:asciiTheme="majorBidi" w:hAnsiTheme="majorBidi" w:cstheme="majorBidi"/>
          <w:bCs/>
          <w:sz w:val="22"/>
          <w:szCs w:val="22"/>
        </w:rPr>
        <w:t>Părțile se angajează să asigure funcționarilor Comisiei, OLAF, CCE, DLAF, DNA, AA și, în măsura în care este competent, EPPO și reprezentanților autorizați ai acestora, acces la amplasamentele și sediile în care se efectuează investițiile și reformele finanțate în temeiul prezent</w:t>
      </w:r>
      <w:r w:rsidR="002B2F2A" w:rsidRPr="00C373FD">
        <w:rPr>
          <w:rFonts w:asciiTheme="majorBidi" w:hAnsiTheme="majorBidi" w:cstheme="majorBidi"/>
          <w:bCs/>
          <w:sz w:val="22"/>
          <w:szCs w:val="22"/>
        </w:rPr>
        <w:t>ului contract</w:t>
      </w:r>
      <w:r w:rsidRPr="00C373FD">
        <w:rPr>
          <w:rFonts w:asciiTheme="majorBidi" w:hAnsiTheme="majorBidi" w:cstheme="majorBidi"/>
          <w:bCs/>
          <w:sz w:val="22"/>
          <w:szCs w:val="22"/>
        </w:rPr>
        <w:t xml:space="preserve">, precum și la orice documente și date informatice privind gestionarea investițiilor și reformelor respective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1D02BB31" w14:textId="0411BF21" w:rsidR="00DA7B69" w:rsidRPr="00C373FD" w:rsidRDefault="00DA7B69" w:rsidP="00C373FD">
      <w:pPr>
        <w:pStyle w:val="P68B1DB1-ListParagraph14"/>
        <w:tabs>
          <w:tab w:val="left" w:pos="630"/>
          <w:tab w:val="left" w:pos="720"/>
          <w:tab w:val="left" w:pos="900"/>
          <w:tab w:val="left" w:pos="990"/>
        </w:tabs>
        <w:spacing w:after="120" w:line="240" w:lineRule="auto"/>
        <w:ind w:left="0"/>
        <w:jc w:val="both"/>
        <w:rPr>
          <w:rFonts w:asciiTheme="majorBidi" w:eastAsia="Courier New" w:hAnsiTheme="majorBidi" w:cstheme="majorBidi"/>
          <w:bCs/>
          <w:sz w:val="22"/>
          <w:szCs w:val="22"/>
          <w:lang w:val="ro-RO" w:eastAsia="ro-RO"/>
        </w:rPr>
      </w:pPr>
      <w:r>
        <w:rPr>
          <w:rFonts w:ascii="Trebuchet MS" w:hAnsi="Trebuchet MS" w:cs="Trebuchet MS"/>
          <w:szCs w:val="24"/>
          <w:lang w:val="ro-RO"/>
        </w:rPr>
        <w:t>4</w:t>
      </w:r>
      <w:r w:rsidRPr="00C373FD">
        <w:rPr>
          <w:rFonts w:asciiTheme="majorBidi" w:eastAsia="Courier New" w:hAnsiTheme="majorBidi" w:cstheme="majorBidi"/>
          <w:bCs/>
          <w:sz w:val="22"/>
          <w:szCs w:val="22"/>
          <w:lang w:val="ro-RO" w:eastAsia="ro-RO"/>
        </w:rPr>
        <w:t>)</w:t>
      </w:r>
      <w:r>
        <w:rPr>
          <w:rFonts w:asciiTheme="majorBidi" w:eastAsia="Courier New" w:hAnsiTheme="majorBidi" w:cstheme="majorBidi"/>
          <w:bCs/>
          <w:sz w:val="22"/>
          <w:szCs w:val="22"/>
          <w:lang w:val="ro-RO" w:eastAsia="ro-RO"/>
        </w:rPr>
        <w:t xml:space="preserve"> </w:t>
      </w:r>
      <w:bookmarkStart w:id="2" w:name="_GoBack"/>
      <w:r w:rsidRPr="00C373FD">
        <w:rPr>
          <w:rFonts w:asciiTheme="majorBidi" w:eastAsia="Courier New" w:hAnsiTheme="majorBidi" w:cstheme="majorBidi"/>
          <w:bCs/>
          <w:sz w:val="22"/>
          <w:szCs w:val="22"/>
          <w:lang w:val="ro-RO" w:eastAsia="ro-RO"/>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0CD41268" w14:textId="77777777" w:rsidR="00DA7B69" w:rsidRPr="00C373FD" w:rsidRDefault="00DA7B69" w:rsidP="00DA7B69">
      <w:pPr>
        <w:pStyle w:val="P68B1DB1-ListParagraph13"/>
        <w:numPr>
          <w:ilvl w:val="1"/>
          <w:numId w:val="26"/>
        </w:numPr>
        <w:spacing w:after="200" w:line="240" w:lineRule="auto"/>
        <w:jc w:val="both"/>
        <w:rPr>
          <w:rFonts w:asciiTheme="majorBidi" w:eastAsia="Courier New" w:hAnsiTheme="majorBidi" w:cstheme="majorBidi"/>
          <w:bCs/>
          <w:sz w:val="22"/>
          <w:szCs w:val="22"/>
          <w:lang w:val="ro-RO" w:eastAsia="ro-RO"/>
        </w:rPr>
      </w:pPr>
      <w:r w:rsidRPr="00C373FD">
        <w:rPr>
          <w:rFonts w:asciiTheme="majorBidi" w:eastAsia="Courier New" w:hAnsiTheme="majorBidi" w:cstheme="majorBidi"/>
          <w:bCs/>
          <w:sz w:val="22"/>
          <w:szCs w:val="22"/>
          <w:lang w:val="ro-RO" w:eastAsia="ro-RO"/>
        </w:rPr>
        <w:t>prevenirea, detectarea și corectarea fraudei, a corupției și a conflictelor de interese care afectează interesele financiare ale Uniunii, inclusiv aplicarea art. 11 din Acordul privind contribuția financiară;</w:t>
      </w:r>
    </w:p>
    <w:p w14:paraId="3ED2DDD3" w14:textId="77777777" w:rsidR="00DA7B69" w:rsidRPr="00C373FD" w:rsidRDefault="00DA7B69" w:rsidP="00DA7B69">
      <w:pPr>
        <w:pStyle w:val="P68B1DB1-ListParagraph13"/>
        <w:numPr>
          <w:ilvl w:val="1"/>
          <w:numId w:val="26"/>
        </w:numPr>
        <w:spacing w:after="200" w:line="240" w:lineRule="auto"/>
        <w:jc w:val="both"/>
        <w:rPr>
          <w:rFonts w:asciiTheme="majorBidi" w:eastAsia="Courier New" w:hAnsiTheme="majorBidi" w:cstheme="majorBidi"/>
          <w:bCs/>
          <w:sz w:val="22"/>
          <w:szCs w:val="22"/>
          <w:lang w:val="ro-RO" w:eastAsia="ro-RO"/>
        </w:rPr>
      </w:pPr>
      <w:r w:rsidRPr="00C373FD">
        <w:rPr>
          <w:rFonts w:asciiTheme="majorBidi" w:eastAsia="Courier New" w:hAnsiTheme="majorBidi" w:cstheme="majorBidi"/>
          <w:bCs/>
          <w:sz w:val="22"/>
          <w:szCs w:val="22"/>
          <w:lang w:val="ro-RO" w:eastAsia="ro-RO"/>
        </w:rPr>
        <w:t>aplicarea art. 4 alin. (2) din Acordul privind contribuția financiară;</w:t>
      </w:r>
    </w:p>
    <w:p w14:paraId="3A94AA6A" w14:textId="77777777" w:rsidR="00DA7B69" w:rsidRPr="00C373FD" w:rsidRDefault="00DA7B69" w:rsidP="00DA7B69">
      <w:pPr>
        <w:pStyle w:val="P68B1DB1-ListParagraph14"/>
        <w:numPr>
          <w:ilvl w:val="1"/>
          <w:numId w:val="26"/>
        </w:numPr>
        <w:spacing w:after="200" w:line="240" w:lineRule="auto"/>
        <w:jc w:val="both"/>
        <w:rPr>
          <w:rFonts w:asciiTheme="majorBidi" w:eastAsia="Courier New" w:hAnsiTheme="majorBidi" w:cstheme="majorBidi"/>
          <w:bCs/>
          <w:sz w:val="22"/>
          <w:szCs w:val="22"/>
          <w:lang w:val="ro-RO" w:eastAsia="ro-RO"/>
        </w:rPr>
      </w:pPr>
      <w:r w:rsidRPr="00C373FD">
        <w:rPr>
          <w:rFonts w:asciiTheme="majorBidi" w:eastAsia="Courier New" w:hAnsiTheme="majorBidi" w:cstheme="majorBidi"/>
          <w:bCs/>
          <w:sz w:val="22"/>
          <w:szCs w:val="22"/>
          <w:lang w:val="ro-RO" w:eastAsia="ro-RO"/>
        </w:rPr>
        <w:t>informațiile și justificarea privind îndeplinirea satisfăcătoare a obiectivelor de etapă și a țintelor într-o cerere de plată.</w:t>
      </w:r>
    </w:p>
    <w:bookmarkEnd w:id="2"/>
    <w:p w14:paraId="59C2236E" w14:textId="08806038" w:rsidR="001D3856" w:rsidRPr="00C373FD" w:rsidRDefault="00A02248" w:rsidP="002576BA">
      <w:pPr>
        <w:pBdr>
          <w:top w:val="nil"/>
          <w:left w:val="nil"/>
          <w:bottom w:val="nil"/>
          <w:right w:val="nil"/>
          <w:between w:val="nil"/>
        </w:pBdr>
        <w:spacing w:line="276" w:lineRule="auto"/>
        <w:jc w:val="both"/>
        <w:rPr>
          <w:rFonts w:asciiTheme="majorBidi" w:hAnsiTheme="majorBidi" w:cstheme="majorBidi"/>
          <w:bCs/>
          <w:sz w:val="22"/>
          <w:szCs w:val="22"/>
        </w:rPr>
      </w:pPr>
      <w:r w:rsidRPr="00C373FD">
        <w:rPr>
          <w:rFonts w:asciiTheme="majorBidi" w:hAnsiTheme="majorBidi" w:cstheme="majorBidi"/>
          <w:bCs/>
          <w:sz w:val="22"/>
          <w:szCs w:val="22"/>
        </w:rPr>
        <w:t>5</w:t>
      </w:r>
      <w:r w:rsidR="002576BA" w:rsidRPr="00C373FD">
        <w:rPr>
          <w:rFonts w:asciiTheme="majorBidi" w:hAnsiTheme="majorBidi" w:cstheme="majorBidi"/>
          <w:bCs/>
          <w:sz w:val="22"/>
          <w:szCs w:val="22"/>
        </w:rPr>
        <w:t xml:space="preserve">) Pentru a se conforma </w:t>
      </w:r>
      <w:r w:rsidR="00C373FD">
        <w:rPr>
          <w:rFonts w:asciiTheme="majorBidi" w:hAnsiTheme="majorBidi" w:cstheme="majorBidi"/>
          <w:bCs/>
          <w:sz w:val="22"/>
          <w:szCs w:val="22"/>
        </w:rPr>
        <w:t xml:space="preserve"> cu </w:t>
      </w:r>
      <w:r w:rsidR="002576BA" w:rsidRPr="00C373FD">
        <w:rPr>
          <w:rFonts w:asciiTheme="majorBidi" w:hAnsiTheme="majorBidi" w:cstheme="majorBidi"/>
          <w:bCs/>
          <w:sz w:val="22"/>
          <w:szCs w:val="22"/>
        </w:rPr>
        <w:t xml:space="preserve">art. 22 alin. (2) lit. (e) din Regulamentul (UE) 2021/241, părțile impun obligații tuturor beneficiarilor fondurilor plătite pentru măsurile de punere în aplicare a reformelor și a proiectelor de investiții incluse în PNRR sau tuturor celorlalte persoane sau entități implicate în punerea în aplicare a acestora: de a autoriza în mod expres Comisia, OLAF, Curtea de Conturi, DLAF, DNA, AA și, după caz, EPPO să își exercite drepturile prevăzute la art. 129 alin. (1) din Regulamentul financiar și de a impune obligații similare </w:t>
      </w:r>
      <w:r w:rsidR="002576BA" w:rsidRPr="00C373FD">
        <w:rPr>
          <w:rFonts w:asciiTheme="majorBidi" w:hAnsiTheme="majorBidi" w:cstheme="majorBidi"/>
          <w:bCs/>
          <w:sz w:val="22"/>
          <w:szCs w:val="22"/>
        </w:rPr>
        <w:lastRenderedPageBreak/>
        <w:t xml:space="preserve">tuturor beneficiarilor finali ai fondurilor plătite, pentru a se asigura că orice parte terță implicată în punerea în aplicare </w:t>
      </w:r>
    </w:p>
    <w:p w14:paraId="5A2ABDF6" w14:textId="2832B638" w:rsidR="002576BA" w:rsidRPr="003B0A52" w:rsidRDefault="002576BA" w:rsidP="002576BA">
      <w:pPr>
        <w:pBdr>
          <w:top w:val="nil"/>
          <w:left w:val="nil"/>
          <w:bottom w:val="nil"/>
          <w:right w:val="nil"/>
          <w:between w:val="nil"/>
        </w:pBdr>
        <w:spacing w:line="276" w:lineRule="auto"/>
        <w:jc w:val="both"/>
        <w:rPr>
          <w:rFonts w:asciiTheme="majorBidi" w:hAnsiTheme="majorBidi" w:cstheme="majorBidi"/>
          <w:bCs/>
          <w:sz w:val="22"/>
          <w:szCs w:val="22"/>
        </w:rPr>
      </w:pPr>
      <w:r w:rsidRPr="00C373FD">
        <w:rPr>
          <w:rFonts w:asciiTheme="majorBidi" w:hAnsiTheme="majorBidi" w:cstheme="majorBidi"/>
          <w:bCs/>
          <w:sz w:val="22"/>
          <w:szCs w:val="22"/>
        </w:rPr>
        <w:t>a alineatului (</w:t>
      </w:r>
      <w:r w:rsidR="00DA7B69" w:rsidRPr="00C373FD">
        <w:rPr>
          <w:rFonts w:asciiTheme="majorBidi" w:hAnsiTheme="majorBidi" w:cstheme="majorBidi"/>
          <w:bCs/>
          <w:sz w:val="22"/>
          <w:szCs w:val="22"/>
        </w:rPr>
        <w:t>4</w:t>
      </w:r>
      <w:r w:rsidRPr="00C373FD">
        <w:rPr>
          <w:rFonts w:asciiTheme="majorBidi" w:hAnsiTheme="majorBidi" w:cstheme="majorBidi"/>
          <w:bCs/>
          <w:sz w:val="22"/>
          <w:szCs w:val="22"/>
        </w:rPr>
        <w:t xml:space="preserve">) are drepturile care îi revin în conformitate cu </w:t>
      </w:r>
      <w:r w:rsidR="00383D50" w:rsidRPr="00C373FD">
        <w:rPr>
          <w:rFonts w:asciiTheme="majorBidi" w:hAnsiTheme="majorBidi" w:cstheme="majorBidi"/>
          <w:bCs/>
          <w:sz w:val="22"/>
          <w:szCs w:val="22"/>
        </w:rPr>
        <w:t xml:space="preserve">- </w:t>
      </w:r>
      <w:r w:rsidRPr="00C373FD">
        <w:rPr>
          <w:rFonts w:asciiTheme="majorBidi" w:hAnsiTheme="majorBidi" w:cstheme="majorBidi"/>
          <w:bCs/>
          <w:sz w:val="22"/>
          <w:szCs w:val="22"/>
        </w:rPr>
        <w:t>Regulamentul financiar.</w:t>
      </w:r>
    </w:p>
    <w:p w14:paraId="27A4C397" w14:textId="77777777" w:rsidR="007326EA" w:rsidRPr="00576CC4" w:rsidRDefault="007326EA" w:rsidP="007326EA">
      <w:pPr>
        <w:pBdr>
          <w:top w:val="nil"/>
          <w:left w:val="nil"/>
          <w:bottom w:val="nil"/>
          <w:right w:val="nil"/>
          <w:between w:val="nil"/>
        </w:pBdr>
        <w:spacing w:line="276" w:lineRule="auto"/>
        <w:jc w:val="both"/>
        <w:rPr>
          <w:rFonts w:asciiTheme="majorBidi" w:hAnsiTheme="majorBidi" w:cstheme="majorBidi"/>
          <w:bCs/>
          <w:sz w:val="22"/>
          <w:szCs w:val="22"/>
        </w:rPr>
      </w:pPr>
    </w:p>
    <w:p w14:paraId="7AB7124D" w14:textId="3A4AB867"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Pr>
          <w:rFonts w:asciiTheme="majorBidi" w:hAnsiTheme="majorBidi" w:cstheme="majorBidi"/>
          <w:sz w:val="22"/>
          <w:szCs w:val="22"/>
        </w:rPr>
        <w:t>7</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Eligibilitatea cheltuielilor</w:t>
      </w:r>
    </w:p>
    <w:p w14:paraId="5C45FC32" w14:textId="38DD82A0" w:rsidR="00982F23" w:rsidRPr="00576CC4" w:rsidRDefault="00982F23"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576CC4">
        <w:rPr>
          <w:rFonts w:asciiTheme="majorBidi" w:hAnsiTheme="majorBidi" w:cstheme="majorBidi"/>
          <w:bCs/>
          <w:sz w:val="22"/>
          <w:szCs w:val="22"/>
        </w:rPr>
        <w:t>finanțării</w:t>
      </w:r>
      <w:r w:rsidRPr="00576CC4">
        <w:rPr>
          <w:rFonts w:asciiTheme="majorBidi" w:hAnsiTheme="majorBidi" w:cstheme="majorBidi"/>
          <w:bCs/>
          <w:sz w:val="22"/>
          <w:szCs w:val="22"/>
        </w:rPr>
        <w:t xml:space="preserve"> aprobat</w:t>
      </w:r>
      <w:r w:rsidR="00085083" w:rsidRPr="00576CC4">
        <w:rPr>
          <w:rFonts w:asciiTheme="majorBidi" w:hAnsiTheme="majorBidi" w:cstheme="majorBidi"/>
          <w:bCs/>
          <w:sz w:val="22"/>
          <w:szCs w:val="22"/>
        </w:rPr>
        <w:t>e</w:t>
      </w:r>
      <w:r w:rsidRPr="00576CC4">
        <w:rPr>
          <w:rFonts w:asciiTheme="majorBidi" w:hAnsiTheme="majorBidi" w:cstheme="majorBidi"/>
          <w:bCs/>
          <w:sz w:val="22"/>
          <w:szCs w:val="22"/>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576CC4" w:rsidRDefault="00FA2190"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p>
    <w:p w14:paraId="03E8FD7C" w14:textId="516E7243" w:rsidR="00982F23" w:rsidRPr="00576CC4" w:rsidRDefault="00982F23" w:rsidP="00FA2190">
      <w:pPr>
        <w:jc w:val="both"/>
        <w:rPr>
          <w:rFonts w:asciiTheme="majorBidi" w:hAnsiTheme="majorBidi" w:cstheme="majorBidi"/>
          <w:strike/>
          <w:sz w:val="22"/>
          <w:szCs w:val="22"/>
        </w:rPr>
      </w:pPr>
      <w:r w:rsidRPr="00576CC4">
        <w:rPr>
          <w:rFonts w:asciiTheme="majorBidi" w:hAnsiTheme="majorBidi" w:cstheme="majorBidi"/>
          <w:sz w:val="22"/>
          <w:szCs w:val="22"/>
        </w:rPr>
        <w:t xml:space="preserve">Articolul </w:t>
      </w:r>
      <w:r w:rsidR="00EF22B5">
        <w:rPr>
          <w:rFonts w:asciiTheme="majorBidi" w:hAnsiTheme="majorBidi" w:cstheme="majorBidi"/>
          <w:sz w:val="22"/>
          <w:szCs w:val="22"/>
        </w:rPr>
        <w:t>8</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Plata cheltuielilor</w:t>
      </w:r>
    </w:p>
    <w:p w14:paraId="1C512011" w14:textId="77777777"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Plata sumelor aprobate aferente Cererilor de transfer autorizate se efectuează de către ME, către Beneficiar în contul dedicat Proiectului, în conformitate cu prevederile prezentului contract.</w:t>
      </w:r>
    </w:p>
    <w:p w14:paraId="3607FC90" w14:textId="764CE633"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După depunerea de către Beneficiar a Cererii de transfer, în termen de 10 zile lucrătoare, cheltuielile cuprinse în Cererea de transfer se verifică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se autorizează conform instrucțiunilor specifice de lucru emise de către ME.</w:t>
      </w:r>
    </w:p>
    <w:p w14:paraId="6B70E3F8" w14:textId="1CFF1A6D"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Pentru depunerea de documente adiționale, sau clarificări solicitate de Ministerul Educației termenul de 10 zile lucrătoare prevăzut la alin. (3) poate fi întrerupt fără ca perioadele de întrerupere cumulate să </w:t>
      </w:r>
      <w:r w:rsidR="00BB7F06" w:rsidRPr="00576CC4">
        <w:rPr>
          <w:rFonts w:asciiTheme="majorBidi" w:hAnsiTheme="majorBidi" w:cstheme="majorBidi"/>
          <w:bCs/>
          <w:sz w:val="22"/>
          <w:szCs w:val="22"/>
        </w:rPr>
        <w:t>depășească</w:t>
      </w:r>
      <w:r w:rsidRPr="00576CC4">
        <w:rPr>
          <w:rFonts w:asciiTheme="majorBidi" w:hAnsiTheme="majorBidi" w:cstheme="majorBidi"/>
          <w:bCs/>
          <w:sz w:val="22"/>
          <w:szCs w:val="22"/>
        </w:rPr>
        <w:t xml:space="preserve"> 10 zile lucrătoare.</w:t>
      </w:r>
    </w:p>
    <w:p w14:paraId="64E6A21E" w14:textId="464104A0"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ultimei Cereri de transfer depuse de Beneficiar în cadrul Proiectului, termenul prevăzut la alin. (3) poate fi prelungit cu durata necesară efectuării tuturor verificărilor procedurale, fără a </w:t>
      </w:r>
      <w:r w:rsidR="00BB7F06" w:rsidRPr="00576CC4">
        <w:rPr>
          <w:rFonts w:asciiTheme="majorBidi" w:hAnsiTheme="majorBidi" w:cstheme="majorBidi"/>
          <w:bCs/>
          <w:sz w:val="22"/>
          <w:szCs w:val="22"/>
        </w:rPr>
        <w:t>depăși</w:t>
      </w:r>
      <w:r w:rsidRPr="00576CC4">
        <w:rPr>
          <w:rFonts w:asciiTheme="majorBidi" w:hAnsiTheme="majorBidi" w:cstheme="majorBidi"/>
          <w:bCs/>
          <w:sz w:val="22"/>
          <w:szCs w:val="22"/>
        </w:rPr>
        <w:t xml:space="preserve"> 45 de zile.</w:t>
      </w:r>
    </w:p>
    <w:p w14:paraId="7EE65101" w14:textId="45AEC491"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suspendă </w:t>
      </w:r>
      <w:r w:rsidR="00BB7F06" w:rsidRPr="00576CC4">
        <w:rPr>
          <w:rFonts w:asciiTheme="majorBidi" w:hAnsiTheme="majorBidi" w:cstheme="majorBidi"/>
          <w:bCs/>
          <w:sz w:val="22"/>
          <w:szCs w:val="22"/>
        </w:rPr>
        <w:t>plățile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acordurile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respectiv de împrumut, acordurile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contractele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respective continuă a fi </w:t>
      </w:r>
      <w:r w:rsidR="00BB7F06" w:rsidRPr="00576CC4">
        <w:rPr>
          <w:rFonts w:asciiTheme="majorBidi" w:hAnsiTheme="majorBidi" w:cstheme="majorBidi"/>
          <w:bCs/>
          <w:sz w:val="22"/>
          <w:szCs w:val="22"/>
        </w:rPr>
        <w:t>finanțate</w:t>
      </w:r>
      <w:r w:rsidRPr="00576CC4">
        <w:rPr>
          <w:rFonts w:asciiTheme="majorBidi" w:hAnsiTheme="majorBidi" w:cstheme="majorBidi"/>
          <w:bCs/>
          <w:sz w:val="22"/>
          <w:szCs w:val="22"/>
        </w:rPr>
        <w:t xml:space="preserve"> din bugetul de stat până la comunicarea deciziei CE de ridicare a suspendării </w:t>
      </w:r>
      <w:r w:rsidR="00BB7F06" w:rsidRPr="00576CC4">
        <w:rPr>
          <w:rFonts w:asciiTheme="majorBidi" w:hAnsiTheme="majorBidi" w:cstheme="majorBidi"/>
          <w:bCs/>
          <w:sz w:val="22"/>
          <w:szCs w:val="22"/>
        </w:rPr>
        <w:t>plăților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acordurilor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/sau acordul de împrumut.</w:t>
      </w:r>
    </w:p>
    <w:p w14:paraId="64BE9A15" w14:textId="356C297E"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suspendă </w:t>
      </w:r>
      <w:r w:rsidR="00BB7F06" w:rsidRPr="00576CC4">
        <w:rPr>
          <w:rFonts w:asciiTheme="majorBidi" w:hAnsiTheme="majorBidi" w:cstheme="majorBidi"/>
          <w:bCs/>
          <w:sz w:val="22"/>
          <w:szCs w:val="22"/>
        </w:rPr>
        <w:t>plățile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acordurile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respectiv de împrumut, ca urmare a îndeplinirii </w:t>
      </w:r>
      <w:r w:rsidR="00BB7F06" w:rsidRPr="00576CC4">
        <w:rPr>
          <w:rFonts w:asciiTheme="majorBidi" w:hAnsiTheme="majorBidi" w:cstheme="majorBidi"/>
          <w:bCs/>
          <w:sz w:val="22"/>
          <w:szCs w:val="22"/>
        </w:rPr>
        <w:t>parțiale</w:t>
      </w:r>
      <w:r w:rsidRPr="00576CC4">
        <w:rPr>
          <w:rFonts w:asciiTheme="majorBidi" w:hAnsiTheme="majorBidi" w:cstheme="majorBidi"/>
          <w:bCs/>
          <w:sz w:val="22"/>
          <w:szCs w:val="22"/>
        </w:rPr>
        <w:t xml:space="preserve"> a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aferente uneia sau mai multor </w:t>
      </w:r>
      <w:r w:rsidR="00BB7F06" w:rsidRPr="00576CC4">
        <w:rPr>
          <w:rFonts w:asciiTheme="majorBidi" w:hAnsiTheme="majorBidi" w:cstheme="majorBidi"/>
          <w:bCs/>
          <w:sz w:val="22"/>
          <w:szCs w:val="22"/>
        </w:rPr>
        <w:t>tranșe</w:t>
      </w:r>
      <w:r w:rsidRPr="00576CC4">
        <w:rPr>
          <w:rFonts w:asciiTheme="majorBidi" w:hAnsiTheme="majorBidi" w:cstheme="majorBidi"/>
          <w:bCs/>
          <w:sz w:val="22"/>
          <w:szCs w:val="22"/>
        </w:rPr>
        <w:t xml:space="preserve"> de plată stabilite potrivit Deciziei de punere în aplicare a Consiliului din 29 octombrie 2021 de aprobare a evaluării Planului Național de Redresare și </w:t>
      </w:r>
      <w:r w:rsidR="00BB7F06" w:rsidRPr="00576CC4">
        <w:rPr>
          <w:rFonts w:asciiTheme="majorBidi" w:hAnsiTheme="majorBidi" w:cstheme="majorBidi"/>
          <w:bCs/>
          <w:sz w:val="22"/>
          <w:szCs w:val="22"/>
        </w:rPr>
        <w:t>Reziliență</w:t>
      </w:r>
      <w:r w:rsidRPr="00576CC4">
        <w:rPr>
          <w:rFonts w:asciiTheme="majorBidi" w:hAnsiTheme="majorBidi" w:cstheme="majorBidi"/>
          <w:bCs/>
          <w:sz w:val="22"/>
          <w:szCs w:val="22"/>
        </w:rPr>
        <w:t xml:space="preserve"> al României, acordurile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contractele/deciziile/ordinele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respective continuă a fi </w:t>
      </w:r>
      <w:r w:rsidR="00BB7F06" w:rsidRPr="00576CC4">
        <w:rPr>
          <w:rFonts w:asciiTheme="majorBidi" w:hAnsiTheme="majorBidi" w:cstheme="majorBidi"/>
          <w:bCs/>
          <w:sz w:val="22"/>
          <w:szCs w:val="22"/>
        </w:rPr>
        <w:t>finanțate</w:t>
      </w:r>
      <w:r w:rsidRPr="00576CC4">
        <w:rPr>
          <w:rFonts w:asciiTheme="majorBidi" w:hAnsiTheme="majorBidi" w:cstheme="majorBidi"/>
          <w:bCs/>
          <w:sz w:val="22"/>
          <w:szCs w:val="22"/>
        </w:rPr>
        <w:t xml:space="preserve"> din bugetul de stat pentru o perioadă de maximum 6 luni, calculată de la data comunicării deciziei CE de suspendare </w:t>
      </w:r>
      <w:r w:rsidR="00BB7F06" w:rsidRPr="00576CC4">
        <w:rPr>
          <w:rFonts w:asciiTheme="majorBidi" w:hAnsiTheme="majorBidi" w:cstheme="majorBidi"/>
          <w:bCs/>
          <w:sz w:val="22"/>
          <w:szCs w:val="22"/>
        </w:rPr>
        <w:t>plăților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acordurilor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/sau acordul de împrumut.</w:t>
      </w:r>
    </w:p>
    <w:p w14:paraId="7F2A083E" w14:textId="5F53EEEB"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dezangajează fondurile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pentru care au fost suspendate </w:t>
      </w:r>
      <w:r w:rsidR="00BB7F06" w:rsidRPr="00576CC4">
        <w:rPr>
          <w:rFonts w:asciiTheme="majorBidi" w:hAnsiTheme="majorBidi" w:cstheme="majorBidi"/>
          <w:bCs/>
          <w:sz w:val="22"/>
          <w:szCs w:val="22"/>
        </w:rPr>
        <w:t>plățile</w:t>
      </w:r>
      <w:r w:rsidRPr="00576CC4">
        <w:rPr>
          <w:rFonts w:asciiTheme="majorBidi" w:hAnsiTheme="majorBidi" w:cstheme="majorBidi"/>
          <w:bCs/>
          <w:sz w:val="22"/>
          <w:szCs w:val="22"/>
        </w:rPr>
        <w:t xml:space="preserve">/acordul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acordul de împrumut, coordonatorul </w:t>
      </w:r>
      <w:r w:rsidR="00BB7F06" w:rsidRPr="00576CC4">
        <w:rPr>
          <w:rFonts w:asciiTheme="majorBidi" w:hAnsiTheme="majorBidi" w:cstheme="majorBidi"/>
          <w:bCs/>
          <w:sz w:val="22"/>
          <w:szCs w:val="22"/>
        </w:rPr>
        <w:t>național</w:t>
      </w:r>
      <w:r w:rsidRPr="00576CC4">
        <w:rPr>
          <w:rFonts w:asciiTheme="majorBidi" w:hAnsiTheme="majorBidi" w:cstheme="majorBidi"/>
          <w:bCs/>
          <w:sz w:val="22"/>
          <w:szCs w:val="22"/>
        </w:rPr>
        <w:t xml:space="preserve">, MIPE, suspendă </w:t>
      </w:r>
      <w:r w:rsidR="00BB7F06" w:rsidRPr="00576CC4">
        <w:rPr>
          <w:rFonts w:asciiTheme="majorBidi" w:hAnsiTheme="majorBidi" w:cstheme="majorBidi"/>
          <w:bCs/>
          <w:sz w:val="22"/>
          <w:szCs w:val="22"/>
        </w:rPr>
        <w:t>parțial</w:t>
      </w:r>
      <w:r w:rsidRPr="00576CC4">
        <w:rPr>
          <w:rFonts w:asciiTheme="majorBidi" w:hAnsiTheme="majorBidi" w:cstheme="majorBidi"/>
          <w:bCs/>
          <w:sz w:val="22"/>
          <w:szCs w:val="22"/>
        </w:rPr>
        <w:t xml:space="preserve"> acordul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încheiat cu coordonatorul de reforme/investiții, Ministerul Educației, aflat în derulare, pentru jaloanele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țintele</w:t>
      </w:r>
      <w:r w:rsidRPr="00576CC4">
        <w:rPr>
          <w:rFonts w:asciiTheme="majorBidi" w:hAnsiTheme="majorBidi" w:cstheme="majorBidi"/>
          <w:bCs/>
          <w:sz w:val="22"/>
          <w:szCs w:val="22"/>
        </w:rPr>
        <w:t xml:space="preserve"> respective, până la identificarea de noi surse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w:t>
      </w:r>
    </w:p>
    <w:p w14:paraId="0A8B32F4" w14:textId="32018843"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dezangajează fondurile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Ministerul Educației suspendă </w:t>
      </w:r>
      <w:r w:rsidR="00BB7F06" w:rsidRPr="00576CC4">
        <w:rPr>
          <w:rFonts w:asciiTheme="majorBidi" w:hAnsiTheme="majorBidi" w:cstheme="majorBidi"/>
          <w:bCs/>
          <w:sz w:val="22"/>
          <w:szCs w:val="22"/>
        </w:rPr>
        <w:t>parțial</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activitățile</w:t>
      </w:r>
      <w:r w:rsidRPr="00576CC4">
        <w:rPr>
          <w:rFonts w:asciiTheme="majorBidi" w:hAnsiTheme="majorBidi" w:cstheme="majorBidi"/>
          <w:bCs/>
          <w:sz w:val="22"/>
          <w:szCs w:val="22"/>
        </w:rPr>
        <w:t xml:space="preserve"> aferente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jaloanelor respective din cadrul contractelor/deciziilor/ordinelor aflate în derulare, până la identificarea de noi surse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sau solicită încetarea, cu acordul </w:t>
      </w:r>
      <w:r w:rsidR="00BB7F06" w:rsidRPr="00576CC4">
        <w:rPr>
          <w:rFonts w:asciiTheme="majorBidi" w:hAnsiTheme="majorBidi" w:cstheme="majorBidi"/>
          <w:bCs/>
          <w:sz w:val="22"/>
          <w:szCs w:val="22"/>
        </w:rPr>
        <w:t>p</w:t>
      </w:r>
      <w:r w:rsidR="00BD2207" w:rsidRPr="00576CC4">
        <w:rPr>
          <w:rFonts w:asciiTheme="majorBidi" w:hAnsiTheme="majorBidi" w:cstheme="majorBidi"/>
          <w:bCs/>
          <w:sz w:val="22"/>
          <w:szCs w:val="22"/>
        </w:rPr>
        <w:t>ă</w:t>
      </w:r>
      <w:r w:rsidR="00BB7F06" w:rsidRPr="00576CC4">
        <w:rPr>
          <w:rFonts w:asciiTheme="majorBidi" w:hAnsiTheme="majorBidi" w:cstheme="majorBidi"/>
          <w:bCs/>
          <w:sz w:val="22"/>
          <w:szCs w:val="22"/>
        </w:rPr>
        <w:t>rților</w:t>
      </w:r>
      <w:r w:rsidRPr="00576CC4">
        <w:rPr>
          <w:rFonts w:asciiTheme="majorBidi" w:hAnsiTheme="majorBidi" w:cstheme="majorBidi"/>
          <w:bCs/>
          <w:sz w:val="22"/>
          <w:szCs w:val="22"/>
        </w:rPr>
        <w:t xml:space="preserve">, </w:t>
      </w:r>
      <w:r w:rsidRPr="00576CC4">
        <w:rPr>
          <w:rFonts w:asciiTheme="majorBidi" w:hAnsiTheme="majorBidi" w:cstheme="majorBidi"/>
          <w:bCs/>
          <w:sz w:val="22"/>
          <w:szCs w:val="22"/>
        </w:rPr>
        <w:lastRenderedPageBreak/>
        <w:t xml:space="preserve">cu restituirea sumelor plătite, după caz. Ministerul Educației are dreptul de a întreprinde măsuri privind suspendarea </w:t>
      </w:r>
      <w:r w:rsidR="00BB7F06" w:rsidRPr="00576CC4">
        <w:rPr>
          <w:rFonts w:asciiTheme="majorBidi" w:hAnsiTheme="majorBidi" w:cstheme="majorBidi"/>
          <w:bCs/>
          <w:sz w:val="22"/>
          <w:szCs w:val="22"/>
        </w:rPr>
        <w:t>plăților</w:t>
      </w:r>
      <w:r w:rsidRPr="00576CC4">
        <w:rPr>
          <w:rFonts w:asciiTheme="majorBidi" w:hAnsiTheme="majorBidi" w:cstheme="majorBidi"/>
          <w:bCs/>
          <w:sz w:val="22"/>
          <w:szCs w:val="22"/>
        </w:rPr>
        <w:t xml:space="preserve"> către Beneficiar în următoarele situații:</w:t>
      </w:r>
    </w:p>
    <w:p w14:paraId="192E7B02" w14:textId="00EC3597" w:rsidR="00982F23" w:rsidRPr="00576CC4" w:rsidRDefault="00982F23">
      <w:pPr>
        <w:pStyle w:val="ListParagraph"/>
        <w:widowControl/>
        <w:numPr>
          <w:ilvl w:val="1"/>
          <w:numId w:val="22"/>
        </w:numPr>
        <w:tabs>
          <w:tab w:val="left" w:pos="993"/>
          <w:tab w:val="left" w:pos="1134"/>
        </w:tab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576CC4" w:rsidRDefault="00982F23">
      <w:pPr>
        <w:pStyle w:val="ListParagraph"/>
        <w:widowControl/>
        <w:numPr>
          <w:ilvl w:val="1"/>
          <w:numId w:val="22"/>
        </w:numPr>
        <w:tabs>
          <w:tab w:val="left" w:pos="993"/>
          <w:tab w:val="left" w:pos="1134"/>
        </w:tab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prevăzut la alin. (9), la solicitarea Beneficiarului, se poate aplica drept măsură subsecventă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suspendarea aplicării prevederilor contractelor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 vederea prelungirii perioadei de implementare a acestora, în conformitate cu prevederile art. 31, alin. (12) din OUG nr. 124/2021, cu modificările și completările ulterioare.</w:t>
      </w:r>
    </w:p>
    <w:p w14:paraId="670F5636"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C1CB50F" w14:textId="7C4AAC93"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Pr>
          <w:rFonts w:asciiTheme="majorBidi" w:hAnsiTheme="majorBidi" w:cstheme="majorBidi"/>
          <w:sz w:val="22"/>
          <w:szCs w:val="22"/>
        </w:rPr>
        <w:t>9</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Confidențialitate</w:t>
      </w:r>
    </w:p>
    <w:p w14:paraId="745AFAA8"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și Beneficiarul se angajează să păstreze confidențialitatea documentelor, materialelor, datelor și informațiilor în legătură cu Proiectul. </w:t>
      </w:r>
    </w:p>
    <w:p w14:paraId="614EE2C2"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Nerespectarea obligației de confidențialitate dă dreptul părții vătămate să pretindă daune interese părții în culpă.</w:t>
      </w:r>
    </w:p>
    <w:p w14:paraId="788BF066"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Ministerul Educației și Beneficiarul vor fi exonerați de răspunderea pentru dezvăluirea de informații confidențiale referitoare la contract dacă:</w:t>
      </w:r>
    </w:p>
    <w:p w14:paraId="2B92749D" w14:textId="77777777" w:rsidR="00982F23" w:rsidRPr="00576CC4" w:rsidRDefault="00982F23">
      <w:pPr>
        <w:numPr>
          <w:ilvl w:val="1"/>
          <w:numId w:val="16"/>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informația a fost dezvăluită după ce a fost obținut acordul scris al celeilalte părți contractante pentru asemenea dezvăluire,</w:t>
      </w:r>
    </w:p>
    <w:p w14:paraId="2C9072BE" w14:textId="4637970E" w:rsidR="00982F23" w:rsidRPr="00576CC4" w:rsidRDefault="00982F23" w:rsidP="00FA2190">
      <w:p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sau</w:t>
      </w:r>
    </w:p>
    <w:p w14:paraId="3C8EB658" w14:textId="633B7085" w:rsidR="00982F23" w:rsidRPr="00576CC4" w:rsidRDefault="00982F23">
      <w:pPr>
        <w:pStyle w:val="ListParagraph"/>
        <w:numPr>
          <w:ilvl w:val="1"/>
          <w:numId w:val="16"/>
        </w:numPr>
        <w:pBdr>
          <w:top w:val="nil"/>
          <w:left w:val="nil"/>
          <w:bottom w:val="nil"/>
          <w:right w:val="nil"/>
          <w:between w:val="nil"/>
        </w:pBdr>
        <w:tabs>
          <w:tab w:val="left" w:pos="900"/>
        </w:tab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partea contractantă a fost obligată în mod legal să dezvăluie informația.</w:t>
      </w:r>
    </w:p>
    <w:p w14:paraId="49F62735" w14:textId="062A3C6B" w:rsidR="00982F23" w:rsidRPr="00576CC4" w:rsidRDefault="00982F23">
      <w:pPr>
        <w:pStyle w:val="ListParagraph"/>
        <w:numPr>
          <w:ilvl w:val="0"/>
          <w:numId w:val="16"/>
        </w:numPr>
        <w:ind w:left="540" w:hanging="540"/>
        <w:jc w:val="both"/>
        <w:rPr>
          <w:rFonts w:asciiTheme="majorBidi" w:hAnsiTheme="majorBidi" w:cstheme="majorBidi"/>
          <w:sz w:val="22"/>
          <w:szCs w:val="22"/>
        </w:rPr>
      </w:pPr>
      <w:r w:rsidRPr="00576CC4">
        <w:rPr>
          <w:rFonts w:asciiTheme="majorBidi" w:hAnsiTheme="majorBidi" w:cstheme="majorBidi"/>
          <w:sz w:val="22"/>
          <w:szCs w:val="22"/>
        </w:rPr>
        <w:t>Clauza de confidențialitate nu se aplică în situația în care documentele, materialele, datele, datele confidențiale și informațiile în legătură cu Proiectul sunt solicitate de MIPE.</w:t>
      </w:r>
    </w:p>
    <w:p w14:paraId="1D5C788A" w14:textId="77777777" w:rsidR="00FA2190" w:rsidRPr="00576CC4" w:rsidRDefault="00FA2190" w:rsidP="00FA2190">
      <w:pPr>
        <w:jc w:val="both"/>
        <w:rPr>
          <w:rFonts w:asciiTheme="majorBidi" w:hAnsiTheme="majorBidi" w:cstheme="majorBidi"/>
          <w:sz w:val="22"/>
          <w:szCs w:val="22"/>
        </w:rPr>
      </w:pPr>
    </w:p>
    <w:p w14:paraId="034B02E9" w14:textId="57CB712C"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Pr>
          <w:rFonts w:asciiTheme="majorBidi" w:hAnsiTheme="majorBidi" w:cstheme="majorBidi"/>
          <w:sz w:val="22"/>
          <w:szCs w:val="22"/>
        </w:rPr>
        <w:t>10</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Protecția datelor cu caracter personal</w:t>
      </w:r>
    </w:p>
    <w:p w14:paraId="6FBB5246" w14:textId="77777777" w:rsidR="00982F23" w:rsidRPr="00576CC4" w:rsidRDefault="00982F23" w:rsidP="00FA2190">
      <w:p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(1)</w:t>
      </w:r>
      <w:r w:rsidRPr="00576CC4">
        <w:rPr>
          <w:rFonts w:asciiTheme="majorBidi" w:hAnsiTheme="majorBidi" w:cstheme="majorBidi"/>
          <w:bCs/>
          <w:sz w:val="22"/>
          <w:szCs w:val="22"/>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576CC4" w:rsidRDefault="00982F23" w:rsidP="00FA2190">
      <w:pPr>
        <w:tabs>
          <w:tab w:val="left" w:pos="993"/>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(2)</w:t>
      </w:r>
      <w:r w:rsidRPr="00576CC4">
        <w:rPr>
          <w:rFonts w:asciiTheme="majorBidi" w:hAnsiTheme="majorBidi" w:cstheme="majorBidi"/>
          <w:bCs/>
          <w:sz w:val="22"/>
          <w:szCs w:val="22"/>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576CC4" w:rsidRDefault="00FA2190" w:rsidP="00FA2190">
      <w:pPr>
        <w:tabs>
          <w:tab w:val="left" w:pos="993"/>
        </w:tabs>
        <w:spacing w:line="276" w:lineRule="auto"/>
        <w:ind w:left="540" w:hanging="540"/>
        <w:jc w:val="both"/>
        <w:rPr>
          <w:rFonts w:asciiTheme="majorBidi" w:hAnsiTheme="majorBidi" w:cstheme="majorBidi"/>
          <w:bCs/>
          <w:sz w:val="22"/>
          <w:szCs w:val="22"/>
        </w:rPr>
      </w:pPr>
    </w:p>
    <w:p w14:paraId="20A873D2" w14:textId="62C29EA8"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1</w:t>
      </w:r>
      <w:r w:rsidR="00EF22B5">
        <w:rPr>
          <w:rFonts w:asciiTheme="majorBidi" w:hAnsiTheme="majorBidi" w:cstheme="majorBidi"/>
          <w:sz w:val="22"/>
          <w:szCs w:val="22"/>
        </w:rPr>
        <w:t>1</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Conflictul de interese, regimul incompatibilităților, a fraudei și a corupției</w:t>
      </w:r>
    </w:p>
    <w:p w14:paraId="7970148E" w14:textId="3867FD85" w:rsidR="00982F23" w:rsidRPr="00576CC4" w:rsidRDefault="00982F23">
      <w:pPr>
        <w:numPr>
          <w:ilvl w:val="0"/>
          <w:numId w:val="1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w:t>
      </w:r>
      <w:r w:rsidRPr="00576CC4">
        <w:rPr>
          <w:rFonts w:asciiTheme="majorBidi" w:hAnsiTheme="majorBidi" w:cstheme="majorBidi"/>
          <w:bCs/>
          <w:sz w:val="22"/>
          <w:szCs w:val="22"/>
        </w:rPr>
        <w:lastRenderedPageBreak/>
        <w:t>incompatibilități sau unui posibil caz de fraudă și/sau corupție.</w:t>
      </w:r>
    </w:p>
    <w:p w14:paraId="1B3F887F" w14:textId="1DAEAC96" w:rsidR="00FA2190" w:rsidRDefault="00982F23" w:rsidP="00056B7B">
      <w:pPr>
        <w:pBdr>
          <w:top w:val="nil"/>
          <w:left w:val="nil"/>
          <w:bottom w:val="nil"/>
          <w:right w:val="nil"/>
          <w:between w:val="nil"/>
        </w:pBdr>
        <w:tabs>
          <w:tab w:val="left" w:pos="993"/>
        </w:tabs>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Orice conflict de interese sau incompatibilitate care apare în decursul executării Contractului trebuie notificat/ă fără întârziere către Ministerul Educației. Ministerul Educației își rezervă dreptul de a verifica aceste situații și de a lua măsurile</w:t>
      </w:r>
      <w:r w:rsidR="00056B7B">
        <w:rPr>
          <w:rFonts w:asciiTheme="majorBidi" w:hAnsiTheme="majorBidi" w:cstheme="majorBidi"/>
          <w:bCs/>
          <w:sz w:val="22"/>
          <w:szCs w:val="22"/>
        </w:rPr>
        <w:t xml:space="preserve"> </w:t>
      </w:r>
      <w:r w:rsidR="00056B7B" w:rsidRPr="00576CC4">
        <w:rPr>
          <w:rFonts w:asciiTheme="majorBidi" w:hAnsiTheme="majorBidi" w:cstheme="majorBidi"/>
          <w:bCs/>
          <w:sz w:val="22"/>
          <w:szCs w:val="22"/>
        </w:rPr>
        <w:t>necesare</w:t>
      </w:r>
      <w:r w:rsidR="00056B7B">
        <w:rPr>
          <w:rFonts w:asciiTheme="majorBidi" w:hAnsiTheme="majorBidi" w:cstheme="majorBidi"/>
          <w:bCs/>
          <w:sz w:val="22"/>
          <w:szCs w:val="22"/>
        </w:rPr>
        <w:t xml:space="preserve"> confrom prevederilor legale aflate in vigoare</w:t>
      </w:r>
      <w:r w:rsidRPr="00576CC4">
        <w:rPr>
          <w:rFonts w:asciiTheme="majorBidi" w:hAnsiTheme="majorBidi" w:cstheme="majorBidi"/>
          <w:bCs/>
          <w:sz w:val="22"/>
          <w:szCs w:val="22"/>
        </w:rPr>
        <w:t>, dacă este cazul.</w:t>
      </w:r>
    </w:p>
    <w:p w14:paraId="790FAD45" w14:textId="77777777" w:rsidR="00056B7B" w:rsidRPr="00056B7B" w:rsidRDefault="00056B7B" w:rsidP="00056B7B">
      <w:pPr>
        <w:pBdr>
          <w:top w:val="nil"/>
          <w:left w:val="nil"/>
          <w:bottom w:val="nil"/>
          <w:right w:val="nil"/>
          <w:between w:val="nil"/>
        </w:pBdr>
        <w:tabs>
          <w:tab w:val="left" w:pos="993"/>
        </w:tabs>
        <w:spacing w:line="276" w:lineRule="auto"/>
        <w:ind w:left="540"/>
        <w:jc w:val="both"/>
        <w:rPr>
          <w:rFonts w:asciiTheme="majorBidi" w:hAnsiTheme="majorBidi" w:cstheme="majorBidi"/>
          <w:bCs/>
          <w:sz w:val="22"/>
          <w:szCs w:val="22"/>
        </w:rPr>
      </w:pPr>
    </w:p>
    <w:p w14:paraId="116550B3" w14:textId="1A47A90E"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1</w:t>
      </w:r>
      <w:r w:rsidR="00EF22B5">
        <w:rPr>
          <w:rFonts w:asciiTheme="majorBidi" w:hAnsiTheme="majorBidi" w:cstheme="majorBidi"/>
          <w:sz w:val="22"/>
          <w:szCs w:val="22"/>
        </w:rPr>
        <w:t>2</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Nereguli și restituirea finanțării</w:t>
      </w:r>
    </w:p>
    <w:p w14:paraId="76D5AFC0" w14:textId="76BE8E81"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obligația recuperării de la Beneficiar a sumelor rezultate din nereguli/neatingerea/neîndeplinirea indicatorilor/dubla finanțare din cadrul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nerespectării prevederilor art. 5, alin. (5) și (6), Beneficiarul are obligația să restituie suma încasată în cadrul Proiectului, aferentă documentelor lipsă. </w:t>
      </w:r>
    </w:p>
    <w:p w14:paraId="75B96865" w14:textId="03A98E76"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restitui ME orice</w:t>
      </w:r>
      <w:r w:rsidR="00C921BE"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 xml:space="preserve">sumă ce constituie sumă plătită necuvenit - plată nedatorată, </w:t>
      </w:r>
      <w:r w:rsidR="00BB7F06" w:rsidRPr="00576CC4">
        <w:rPr>
          <w:rFonts w:asciiTheme="majorBidi" w:hAnsiTheme="majorBidi" w:cstheme="majorBidi"/>
          <w:bCs/>
          <w:sz w:val="22"/>
          <w:szCs w:val="22"/>
        </w:rPr>
        <w:t>așa</w:t>
      </w:r>
      <w:r w:rsidRPr="00576CC4">
        <w:rPr>
          <w:rFonts w:asciiTheme="majorBidi" w:hAnsiTheme="majorBidi" w:cstheme="majorBidi"/>
          <w:bCs/>
          <w:sz w:val="22"/>
          <w:szCs w:val="22"/>
        </w:rPr>
        <w:t xml:space="preserve"> cum este aceasta prevăzută la art. 1341 din Legea nr. 287/2009 privind Codul civil, republicată, cu modificările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completările ulterioare.</w:t>
      </w:r>
    </w:p>
    <w:p w14:paraId="087DD426" w14:textId="3F6D1B24"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w:t>
      </w:r>
      <w:r w:rsidR="00BB7F06" w:rsidRPr="00576CC4">
        <w:rPr>
          <w:rFonts w:asciiTheme="majorBidi" w:hAnsiTheme="majorBidi" w:cstheme="majorBidi"/>
          <w:bCs/>
          <w:sz w:val="22"/>
          <w:szCs w:val="22"/>
        </w:rPr>
        <w:t>își</w:t>
      </w:r>
      <w:r w:rsidRPr="00576CC4">
        <w:rPr>
          <w:rFonts w:asciiTheme="majorBidi" w:hAnsiTheme="majorBidi" w:cstheme="majorBidi"/>
          <w:bCs/>
          <w:sz w:val="22"/>
          <w:szCs w:val="22"/>
        </w:rPr>
        <w:t xml:space="preserve"> asumă integral răspunderea pentru prejudiciile cauzate </w:t>
      </w:r>
      <w:r w:rsidR="00BB7F06" w:rsidRPr="00576CC4">
        <w:rPr>
          <w:rFonts w:asciiTheme="majorBidi" w:hAnsiTheme="majorBidi" w:cstheme="majorBidi"/>
          <w:bCs/>
          <w:sz w:val="22"/>
          <w:szCs w:val="22"/>
        </w:rPr>
        <w:t>terților</w:t>
      </w:r>
      <w:r w:rsidRPr="00576CC4">
        <w:rPr>
          <w:rFonts w:asciiTheme="majorBidi" w:hAnsiTheme="majorBidi" w:cstheme="majorBidi"/>
          <w:bCs/>
          <w:sz w:val="22"/>
          <w:szCs w:val="22"/>
        </w:rPr>
        <w:t xml:space="preserve"> din culpa sa, pe durata contractului.</w:t>
      </w:r>
    </w:p>
    <w:p w14:paraId="5E406635" w14:textId="44EBDAD3"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va fi degrevat de orice responsabilitate pentru prejudiciile cauzate </w:t>
      </w:r>
      <w:r w:rsidR="00BB7F06" w:rsidRPr="00576CC4">
        <w:rPr>
          <w:rFonts w:asciiTheme="majorBidi" w:hAnsiTheme="majorBidi" w:cstheme="majorBidi"/>
          <w:bCs/>
          <w:sz w:val="22"/>
          <w:szCs w:val="22"/>
        </w:rPr>
        <w:t>terților</w:t>
      </w:r>
      <w:r w:rsidRPr="00576CC4">
        <w:rPr>
          <w:rFonts w:asciiTheme="majorBidi" w:hAnsiTheme="majorBidi" w:cstheme="majorBidi"/>
          <w:bCs/>
          <w:sz w:val="22"/>
          <w:szCs w:val="22"/>
        </w:rPr>
        <w:t xml:space="preserve"> de către Beneficiar, ca urmare a executării prezentului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cu </w:t>
      </w:r>
      <w:r w:rsidR="00BB7F06" w:rsidRPr="00576CC4">
        <w:rPr>
          <w:rFonts w:asciiTheme="majorBidi" w:hAnsiTheme="majorBidi" w:cstheme="majorBidi"/>
          <w:bCs/>
          <w:sz w:val="22"/>
          <w:szCs w:val="22"/>
        </w:rPr>
        <w:t>excepția</w:t>
      </w:r>
      <w:r w:rsidRPr="00576CC4">
        <w:rPr>
          <w:rFonts w:asciiTheme="majorBidi" w:hAnsiTheme="majorBidi" w:cstheme="majorBidi"/>
          <w:bCs/>
          <w:sz w:val="22"/>
          <w:szCs w:val="22"/>
        </w:rPr>
        <w:t xml:space="preserve"> celor care pot fi direct imputabile acestora.</w:t>
      </w:r>
    </w:p>
    <w:p w14:paraId="679DE621" w14:textId="076DDE42"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va suporta din bugetul propriu sumele necesare </w:t>
      </w:r>
      <w:r w:rsidR="00BB7F06" w:rsidRPr="00576CC4">
        <w:rPr>
          <w:rFonts w:asciiTheme="majorBidi" w:hAnsiTheme="majorBidi" w:cstheme="majorBidi"/>
          <w:bCs/>
          <w:sz w:val="22"/>
          <w:szCs w:val="22"/>
        </w:rPr>
        <w:t>plății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sancțiunilor</w:t>
      </w:r>
      <w:r w:rsidRPr="00576CC4">
        <w:rPr>
          <w:rFonts w:asciiTheme="majorBidi" w:hAnsiTheme="majorBidi" w:cstheme="majorBidi"/>
          <w:bCs/>
          <w:sz w:val="22"/>
          <w:szCs w:val="22"/>
        </w:rPr>
        <w:t xml:space="preserve">, inclusiv majorările de întârziere ca urmare a </w:t>
      </w:r>
      <w:r w:rsidR="00BB7F06" w:rsidRPr="00576CC4">
        <w:rPr>
          <w:rFonts w:asciiTheme="majorBidi" w:hAnsiTheme="majorBidi" w:cstheme="majorBidi"/>
          <w:bCs/>
          <w:sz w:val="22"/>
          <w:szCs w:val="22"/>
        </w:rPr>
        <w:t>imposibilității</w:t>
      </w:r>
      <w:r w:rsidRPr="00576CC4">
        <w:rPr>
          <w:rFonts w:asciiTheme="majorBidi" w:hAnsiTheme="majorBidi" w:cstheme="majorBidi"/>
          <w:bCs/>
          <w:sz w:val="22"/>
          <w:szCs w:val="22"/>
        </w:rPr>
        <w:t xml:space="preserve"> recuperării, dar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sumele aferente deciziilor de recuperare comunicate de către CE pentru neregulile grave constatate ori pentru neîndeplinirea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/jaloanelor, potrivit gradului de nerealizare, după caz. </w:t>
      </w:r>
    </w:p>
    <w:p w14:paraId="2F9268E4" w14:textId="7439C26D"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ECEB1B2" w14:textId="32C182DF" w:rsidR="00982F23" w:rsidRPr="00576CC4" w:rsidRDefault="00982F23" w:rsidP="00FA2190">
      <w:pPr>
        <w:rPr>
          <w:rFonts w:asciiTheme="majorBidi" w:hAnsiTheme="majorBidi" w:cstheme="majorBidi"/>
          <w:b/>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1</w:t>
      </w:r>
      <w:r w:rsidR="00EF22B5">
        <w:rPr>
          <w:rFonts w:asciiTheme="majorBidi" w:hAnsiTheme="majorBidi" w:cstheme="majorBidi"/>
          <w:sz w:val="22"/>
          <w:szCs w:val="22"/>
        </w:rPr>
        <w:t>3</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Monitorizarea</w:t>
      </w:r>
    </w:p>
    <w:p w14:paraId="7A83BC59" w14:textId="6171229A" w:rsidR="00982F23" w:rsidRPr="00576CC4" w:rsidRDefault="00982F23">
      <w:pPr>
        <w:numPr>
          <w:ilvl w:val="0"/>
          <w:numId w:val="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Monitorizarea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este realizată de către ME, în conformitate cu prevederile art. 6, alin. (4) din OUG 124/2021, cu modificările și completările ulterioare. </w:t>
      </w:r>
    </w:p>
    <w:p w14:paraId="2ADD9580" w14:textId="5081E9CA" w:rsidR="00982F23" w:rsidRPr="00576CC4" w:rsidRDefault="00982F23">
      <w:pPr>
        <w:numPr>
          <w:ilvl w:val="0"/>
          <w:numId w:val="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Toate formularele/anexele necesare implementării și monitorizării Proiectului vor fi puse la dispoziția Beneficiarului prin Instrucțiunile specifice de lucru emise de ME.</w:t>
      </w:r>
    </w:p>
    <w:p w14:paraId="22F2BF81"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1BD0A06" w14:textId="44C66F57"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1</w:t>
      </w:r>
      <w:r w:rsidR="00EF22B5">
        <w:rPr>
          <w:rFonts w:asciiTheme="majorBidi" w:hAnsiTheme="majorBidi" w:cstheme="majorBidi"/>
          <w:sz w:val="22"/>
          <w:szCs w:val="22"/>
        </w:rPr>
        <w:t>4</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xml:space="preserve">– </w:t>
      </w:r>
      <w:r w:rsidR="00BB7F06" w:rsidRPr="00576CC4">
        <w:rPr>
          <w:rFonts w:asciiTheme="majorBidi" w:hAnsiTheme="majorBidi" w:cstheme="majorBidi"/>
          <w:sz w:val="22"/>
          <w:szCs w:val="22"/>
        </w:rPr>
        <w:t>Forța</w:t>
      </w:r>
      <w:r w:rsidRPr="00576CC4">
        <w:rPr>
          <w:rFonts w:asciiTheme="majorBidi" w:hAnsiTheme="majorBidi" w:cstheme="majorBidi"/>
          <w:sz w:val="22"/>
          <w:szCs w:val="22"/>
        </w:rPr>
        <w:t xml:space="preserve"> majoră</w:t>
      </w:r>
    </w:p>
    <w:p w14:paraId="1C363657" w14:textId="38785EE8" w:rsidR="00982F23" w:rsidRPr="00576CC4" w:rsidRDefault="00982F23">
      <w:pPr>
        <w:widowControl/>
        <w:numPr>
          <w:ilvl w:val="0"/>
          <w:numId w:val="6"/>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Prin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se </w:t>
      </w:r>
      <w:r w:rsidR="00BB7F06" w:rsidRPr="00576CC4">
        <w:rPr>
          <w:rFonts w:asciiTheme="majorBidi" w:hAnsiTheme="majorBidi" w:cstheme="majorBidi"/>
          <w:bCs/>
          <w:sz w:val="22"/>
          <w:szCs w:val="22"/>
        </w:rPr>
        <w:t>înțelege</w:t>
      </w:r>
      <w:r w:rsidRPr="00576CC4">
        <w:rPr>
          <w:rFonts w:asciiTheme="majorBidi" w:hAnsiTheme="majorBidi" w:cstheme="majorBidi"/>
          <w:bCs/>
          <w:sz w:val="22"/>
          <w:szCs w:val="22"/>
        </w:rPr>
        <w:t xml:space="preserve"> orice eveniment extern, imprevizibil, absolut invincibil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inevitabil intervenit după data semnării Contractului de finanțare, care împiedică executarea în tot sau în parte a Contractului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care exonerează de răspundere partea care o invocă.</w:t>
      </w:r>
    </w:p>
    <w:p w14:paraId="66CF56E2" w14:textId="75CF0225"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lastRenderedPageBreak/>
        <w:t xml:space="preserve">Pot constitui cauze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evenimente cum ar fi: </w:t>
      </w:r>
      <w:r w:rsidR="00BB7F06" w:rsidRPr="00576CC4">
        <w:rPr>
          <w:rFonts w:asciiTheme="majorBidi" w:hAnsiTheme="majorBidi" w:cstheme="majorBidi"/>
          <w:bCs/>
          <w:sz w:val="22"/>
          <w:szCs w:val="22"/>
        </w:rPr>
        <w:t>calamitățile</w:t>
      </w:r>
      <w:r w:rsidRPr="00576CC4">
        <w:rPr>
          <w:rFonts w:asciiTheme="majorBidi" w:hAnsiTheme="majorBidi" w:cstheme="majorBidi"/>
          <w:bCs/>
          <w:sz w:val="22"/>
          <w:szCs w:val="22"/>
        </w:rPr>
        <w:t xml:space="preserve"> naturale (cutremure, </w:t>
      </w:r>
      <w:r w:rsidR="00BB7F06" w:rsidRPr="00576CC4">
        <w:rPr>
          <w:rFonts w:asciiTheme="majorBidi" w:hAnsiTheme="majorBidi" w:cstheme="majorBidi"/>
          <w:bCs/>
          <w:sz w:val="22"/>
          <w:szCs w:val="22"/>
        </w:rPr>
        <w:t>inundații</w:t>
      </w:r>
      <w:r w:rsidRPr="00576CC4">
        <w:rPr>
          <w:rFonts w:asciiTheme="majorBidi" w:hAnsiTheme="majorBidi" w:cstheme="majorBidi"/>
          <w:bCs/>
          <w:sz w:val="22"/>
          <w:szCs w:val="22"/>
        </w:rPr>
        <w:t xml:space="preserve">, alunecări de teren), război, </w:t>
      </w:r>
      <w:r w:rsidR="00BB7F06" w:rsidRPr="00576CC4">
        <w:rPr>
          <w:rFonts w:asciiTheme="majorBidi" w:hAnsiTheme="majorBidi" w:cstheme="majorBidi"/>
          <w:bCs/>
          <w:sz w:val="22"/>
          <w:szCs w:val="22"/>
        </w:rPr>
        <w:t>revoluție</w:t>
      </w:r>
      <w:r w:rsidRPr="00576CC4">
        <w:rPr>
          <w:rFonts w:asciiTheme="majorBidi" w:hAnsiTheme="majorBidi" w:cstheme="majorBidi"/>
          <w:bCs/>
          <w:sz w:val="22"/>
          <w:szCs w:val="22"/>
        </w:rPr>
        <w:t>, embargo.</w:t>
      </w:r>
    </w:p>
    <w:p w14:paraId="3B450D8B" w14:textId="1D6D05F9"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Partea care invocă </w:t>
      </w:r>
      <w:r w:rsidR="00BB7F06" w:rsidRPr="00576CC4">
        <w:rPr>
          <w:rFonts w:asciiTheme="majorBidi" w:hAnsiTheme="majorBidi" w:cstheme="majorBidi"/>
          <w:bCs/>
          <w:sz w:val="22"/>
          <w:szCs w:val="22"/>
        </w:rPr>
        <w:t>forța</w:t>
      </w:r>
      <w:r w:rsidRPr="00576CC4">
        <w:rPr>
          <w:rFonts w:asciiTheme="majorBidi" w:hAnsiTheme="majorBidi" w:cstheme="majorBidi"/>
          <w:bCs/>
          <w:sz w:val="22"/>
          <w:szCs w:val="22"/>
        </w:rPr>
        <w:t xml:space="preserve"> majoră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notifica celeilalte </w:t>
      </w:r>
      <w:r w:rsidR="00BB7F06" w:rsidRPr="00576CC4">
        <w:rPr>
          <w:rFonts w:asciiTheme="majorBidi" w:hAnsiTheme="majorBidi" w:cstheme="majorBidi"/>
          <w:bCs/>
          <w:sz w:val="22"/>
          <w:szCs w:val="22"/>
        </w:rPr>
        <w:t>p</w:t>
      </w:r>
      <w:r w:rsidR="00BD2207" w:rsidRPr="00576CC4">
        <w:rPr>
          <w:rFonts w:asciiTheme="majorBidi" w:hAnsiTheme="majorBidi" w:cstheme="majorBidi"/>
          <w:bCs/>
          <w:sz w:val="22"/>
          <w:szCs w:val="22"/>
        </w:rPr>
        <w:t>ă</w:t>
      </w:r>
      <w:r w:rsidR="00BB7F06" w:rsidRPr="00576CC4">
        <w:rPr>
          <w:rFonts w:asciiTheme="majorBidi" w:hAnsiTheme="majorBidi" w:cstheme="majorBidi"/>
          <w:bCs/>
          <w:sz w:val="22"/>
          <w:szCs w:val="22"/>
        </w:rPr>
        <w:t>rți</w:t>
      </w:r>
      <w:r w:rsidRPr="00576CC4">
        <w:rPr>
          <w:rFonts w:asciiTheme="majorBidi" w:hAnsiTheme="majorBidi" w:cstheme="majorBidi"/>
          <w:bCs/>
          <w:sz w:val="22"/>
          <w:szCs w:val="22"/>
        </w:rPr>
        <w:t xml:space="preserve"> cazul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termen de 5 zile de la data </w:t>
      </w:r>
      <w:r w:rsidR="00BB7F06" w:rsidRPr="00576CC4">
        <w:rPr>
          <w:rFonts w:asciiTheme="majorBidi" w:hAnsiTheme="majorBidi" w:cstheme="majorBidi"/>
          <w:bCs/>
          <w:sz w:val="22"/>
          <w:szCs w:val="22"/>
        </w:rPr>
        <w:t>apariției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a dovedi </w:t>
      </w:r>
      <w:r w:rsidR="00BB7F06" w:rsidRPr="00576CC4">
        <w:rPr>
          <w:rFonts w:asciiTheme="majorBidi" w:hAnsiTheme="majorBidi" w:cstheme="majorBidi"/>
          <w:bCs/>
          <w:sz w:val="22"/>
          <w:szCs w:val="22"/>
        </w:rPr>
        <w:t>existenta</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situației</w:t>
      </w:r>
      <w:r w:rsidRPr="00576CC4">
        <w:rPr>
          <w:rFonts w:asciiTheme="majorBidi" w:hAnsiTheme="majorBidi" w:cstheme="majorBidi"/>
          <w:bCs/>
          <w:sz w:val="22"/>
          <w:szCs w:val="22"/>
        </w:rPr>
        <w:t xml:space="preserv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baza unui document eliberat sau emis de către autoritatea competentă, în termen de cel mult 15 zile de la data comunicării acestuia. De asemenea,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comunica data încetării </w:t>
      </w:r>
      <w:r w:rsidR="00BB7F06" w:rsidRPr="00576CC4">
        <w:rPr>
          <w:rFonts w:asciiTheme="majorBidi" w:hAnsiTheme="majorBidi" w:cstheme="majorBidi"/>
          <w:bCs/>
          <w:sz w:val="22"/>
          <w:szCs w:val="22"/>
        </w:rPr>
        <w:t>situației</w:t>
      </w:r>
      <w:r w:rsidRPr="00576CC4">
        <w:rPr>
          <w:rFonts w:asciiTheme="majorBidi" w:hAnsiTheme="majorBidi" w:cstheme="majorBidi"/>
          <w:bCs/>
          <w:sz w:val="22"/>
          <w:szCs w:val="22"/>
        </w:rPr>
        <w:t xml:space="preserv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termen de 5 zile.</w:t>
      </w:r>
    </w:p>
    <w:p w14:paraId="6325677C" w14:textId="7EEE43C9"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Părţile au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lua orice măsuri care le stau la </w:t>
      </w:r>
      <w:r w:rsidR="00BB7F06" w:rsidRPr="00576CC4">
        <w:rPr>
          <w:rFonts w:asciiTheme="majorBidi" w:hAnsiTheme="majorBidi" w:cstheme="majorBidi"/>
          <w:bCs/>
          <w:sz w:val="22"/>
          <w:szCs w:val="22"/>
        </w:rPr>
        <w:t>dispoziție</w:t>
      </w:r>
      <w:r w:rsidRPr="00576CC4">
        <w:rPr>
          <w:rFonts w:asciiTheme="majorBidi" w:hAnsiTheme="majorBidi" w:cstheme="majorBidi"/>
          <w:bCs/>
          <w:sz w:val="22"/>
          <w:szCs w:val="22"/>
        </w:rPr>
        <w:t xml:space="preserve"> în vederea limitării </w:t>
      </w:r>
      <w:r w:rsidR="00BB7F06" w:rsidRPr="00576CC4">
        <w:rPr>
          <w:rFonts w:asciiTheme="majorBidi" w:hAnsiTheme="majorBidi" w:cstheme="majorBidi"/>
          <w:bCs/>
          <w:sz w:val="22"/>
          <w:szCs w:val="22"/>
        </w:rPr>
        <w:t>consecințelor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acțiunii</w:t>
      </w:r>
      <w:r w:rsidRPr="00576CC4">
        <w:rPr>
          <w:rFonts w:asciiTheme="majorBidi" w:hAnsiTheme="majorBidi" w:cstheme="majorBidi"/>
          <w:bCs/>
          <w:sz w:val="22"/>
          <w:szCs w:val="22"/>
        </w:rPr>
        <w:t xml:space="preserv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w:t>
      </w:r>
    </w:p>
    <w:p w14:paraId="2CFFDFA8" w14:textId="19F72126"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Dacă partea care invocă </w:t>
      </w:r>
      <w:r w:rsidR="00BB7F06" w:rsidRPr="00576CC4">
        <w:rPr>
          <w:rFonts w:asciiTheme="majorBidi" w:hAnsiTheme="majorBidi" w:cstheme="majorBidi"/>
          <w:bCs/>
          <w:sz w:val="22"/>
          <w:szCs w:val="22"/>
        </w:rPr>
        <w:t>forța</w:t>
      </w:r>
      <w:r w:rsidRPr="00576CC4">
        <w:rPr>
          <w:rFonts w:asciiTheme="majorBidi" w:hAnsiTheme="majorBidi" w:cstheme="majorBidi"/>
          <w:bCs/>
          <w:sz w:val="22"/>
          <w:szCs w:val="22"/>
        </w:rPr>
        <w:t xml:space="preserve"> majoră nu procedează la notificarea începerii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încetării cazului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w:t>
      </w:r>
      <w:r w:rsidR="00BB7F06" w:rsidRPr="00576CC4">
        <w:rPr>
          <w:rFonts w:asciiTheme="majorBidi" w:hAnsiTheme="majorBidi" w:cstheme="majorBidi"/>
          <w:bCs/>
          <w:sz w:val="22"/>
          <w:szCs w:val="22"/>
        </w:rPr>
        <w:t>condițiile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termenele prevăzute, va suporta toate daunele provocate celeilalte </w:t>
      </w:r>
      <w:r w:rsidR="00BB7F06" w:rsidRPr="00576CC4">
        <w:rPr>
          <w:rFonts w:asciiTheme="majorBidi" w:hAnsiTheme="majorBidi" w:cstheme="majorBidi"/>
          <w:bCs/>
          <w:sz w:val="22"/>
          <w:szCs w:val="22"/>
        </w:rPr>
        <w:t>părți</w:t>
      </w:r>
      <w:r w:rsidRPr="00576CC4">
        <w:rPr>
          <w:rFonts w:asciiTheme="majorBidi" w:hAnsiTheme="majorBidi" w:cstheme="majorBidi"/>
          <w:bCs/>
          <w:sz w:val="22"/>
          <w:szCs w:val="22"/>
        </w:rPr>
        <w:t xml:space="preserve"> prin lipsa de notificare.</w:t>
      </w:r>
    </w:p>
    <w:p w14:paraId="6F34012D" w14:textId="6211B729"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Executarea Contractului de finanțare va fi suspendată de la data </w:t>
      </w:r>
      <w:r w:rsidR="00BB7F06" w:rsidRPr="00576CC4">
        <w:rPr>
          <w:rFonts w:asciiTheme="majorBidi" w:hAnsiTheme="majorBidi" w:cstheme="majorBidi"/>
          <w:bCs/>
          <w:sz w:val="22"/>
          <w:szCs w:val="22"/>
        </w:rPr>
        <w:t>apariției</w:t>
      </w:r>
      <w:r w:rsidRPr="00576CC4">
        <w:rPr>
          <w:rFonts w:asciiTheme="majorBidi" w:hAnsiTheme="majorBidi" w:cstheme="majorBidi"/>
          <w:bCs/>
          <w:sz w:val="22"/>
          <w:szCs w:val="22"/>
        </w:rPr>
        <w:t xml:space="preserve"> cazului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pe perioada de </w:t>
      </w:r>
      <w:r w:rsidR="00BB7F06" w:rsidRPr="00576CC4">
        <w:rPr>
          <w:rFonts w:asciiTheme="majorBidi" w:hAnsiTheme="majorBidi" w:cstheme="majorBidi"/>
          <w:bCs/>
          <w:sz w:val="22"/>
          <w:szCs w:val="22"/>
        </w:rPr>
        <w:t>acțiune</w:t>
      </w:r>
      <w:r w:rsidRPr="00576CC4">
        <w:rPr>
          <w:rFonts w:asciiTheme="majorBidi" w:hAnsiTheme="majorBidi" w:cstheme="majorBidi"/>
          <w:bCs/>
          <w:sz w:val="22"/>
          <w:szCs w:val="22"/>
        </w:rPr>
        <w:t xml:space="preserve"> a acesteia, fără a prejudicia drepturile ce se cuvin </w:t>
      </w:r>
      <w:r w:rsidR="00BB7F06" w:rsidRPr="00576CC4">
        <w:rPr>
          <w:rFonts w:asciiTheme="majorBidi" w:hAnsiTheme="majorBidi" w:cstheme="majorBidi"/>
          <w:bCs/>
          <w:sz w:val="22"/>
          <w:szCs w:val="22"/>
        </w:rPr>
        <w:t>părților</w:t>
      </w:r>
      <w:r w:rsidRPr="00576CC4">
        <w:rPr>
          <w:rFonts w:asciiTheme="majorBidi" w:hAnsiTheme="majorBidi" w:cstheme="majorBidi"/>
          <w:bCs/>
          <w:sz w:val="22"/>
          <w:szCs w:val="22"/>
        </w:rPr>
        <w:t>.</w:t>
      </w:r>
    </w:p>
    <w:p w14:paraId="391E10B0" w14:textId="7F5DFE70"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w:t>
      </w:r>
      <w:r w:rsidR="00BB7F06" w:rsidRPr="00576CC4">
        <w:rPr>
          <w:rFonts w:asciiTheme="majorBidi" w:hAnsiTheme="majorBidi" w:cstheme="majorBidi"/>
          <w:bCs/>
          <w:sz w:val="22"/>
          <w:szCs w:val="22"/>
        </w:rPr>
        <w:t>forța</w:t>
      </w:r>
      <w:r w:rsidRPr="00576CC4">
        <w:rPr>
          <w:rFonts w:asciiTheme="majorBidi" w:hAnsiTheme="majorBidi" w:cstheme="majorBidi"/>
          <w:bCs/>
          <w:sz w:val="22"/>
          <w:szCs w:val="22"/>
        </w:rPr>
        <w:t xml:space="preserve"> majoră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efectele acesteia obligă la suspendarea executării prezentului Contract pe o perioadă mai mare de 3 luni, </w:t>
      </w:r>
      <w:r w:rsidR="00BB7F06" w:rsidRPr="00576CC4">
        <w:rPr>
          <w:rFonts w:asciiTheme="majorBidi" w:hAnsiTheme="majorBidi" w:cstheme="majorBidi"/>
          <w:bCs/>
          <w:sz w:val="22"/>
          <w:szCs w:val="22"/>
        </w:rPr>
        <w:t>părțile</w:t>
      </w:r>
      <w:r w:rsidRPr="00576CC4">
        <w:rPr>
          <w:rFonts w:asciiTheme="majorBidi" w:hAnsiTheme="majorBidi" w:cstheme="majorBidi"/>
          <w:bCs/>
          <w:sz w:val="22"/>
          <w:szCs w:val="22"/>
        </w:rPr>
        <w:t xml:space="preserve"> se vor întâlni într-un termen de cel mult 10 zile de la expirarea acestei perioade, pentru a conveni asupra modului de continuare, modificare sau reziliere 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w:t>
      </w:r>
    </w:p>
    <w:p w14:paraId="42FAA731" w14:textId="77777777" w:rsidR="00FA2190" w:rsidRPr="00576CC4"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5172F4CC" w14:textId="0BAA3DA4"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 xml:space="preserve">Articolul </w:t>
      </w:r>
      <w:r w:rsidR="00EF22B5" w:rsidRPr="00576CC4">
        <w:rPr>
          <w:rFonts w:asciiTheme="majorBidi" w:hAnsiTheme="majorBidi" w:cstheme="majorBidi"/>
          <w:bCs/>
          <w:sz w:val="22"/>
          <w:szCs w:val="22"/>
        </w:rPr>
        <w:t>1</w:t>
      </w:r>
      <w:r w:rsidR="00EF22B5">
        <w:rPr>
          <w:rFonts w:asciiTheme="majorBidi" w:hAnsiTheme="majorBidi" w:cstheme="majorBidi"/>
          <w:bCs/>
          <w:sz w:val="22"/>
          <w:szCs w:val="22"/>
        </w:rPr>
        <w:t>5</w:t>
      </w:r>
      <w:r w:rsidR="00EF22B5"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 Modificări și completări la Contract</w:t>
      </w:r>
    </w:p>
    <w:p w14:paraId="42260D2D" w14:textId="77777777" w:rsidR="00982F23" w:rsidRPr="00576CC4" w:rsidRDefault="00982F23">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Prelungirea perioadei de implementare a Proiectului se poate realiza numai în perioada menționată la art. 2 alin. (3) din prezentul contract.</w:t>
      </w:r>
    </w:p>
    <w:p w14:paraId="48D453BC" w14:textId="7A8AE1BE"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Prin excepție de la prevederile alin.(3), Contractul de finanțare poate fi modificat, prin notificare, fără a fi necesară aprobarea Ministerul </w:t>
      </w:r>
      <w:r w:rsidR="00BB7F06" w:rsidRPr="00576CC4">
        <w:rPr>
          <w:rFonts w:asciiTheme="majorBidi" w:hAnsiTheme="majorBidi" w:cstheme="majorBidi"/>
          <w:bCs/>
          <w:sz w:val="22"/>
          <w:szCs w:val="22"/>
        </w:rPr>
        <w:t>Educației</w:t>
      </w:r>
      <w:r w:rsidRPr="00576CC4">
        <w:rPr>
          <w:rFonts w:asciiTheme="majorBidi" w:hAnsiTheme="majorBidi" w:cstheme="majorBidi"/>
          <w:bCs/>
          <w:sz w:val="22"/>
          <w:szCs w:val="22"/>
        </w:rPr>
        <w:t xml:space="preserve"> în următoarele </w:t>
      </w:r>
      <w:r w:rsidR="00BB7F06" w:rsidRPr="00576CC4">
        <w:rPr>
          <w:rFonts w:asciiTheme="majorBidi" w:hAnsiTheme="majorBidi" w:cstheme="majorBidi"/>
          <w:bCs/>
          <w:sz w:val="22"/>
          <w:szCs w:val="22"/>
        </w:rPr>
        <w:t>situații</w:t>
      </w:r>
      <w:r w:rsidRPr="00576CC4">
        <w:rPr>
          <w:rFonts w:asciiTheme="majorBidi" w:hAnsiTheme="majorBidi" w:cstheme="majorBidi"/>
          <w:bCs/>
          <w:sz w:val="22"/>
          <w:szCs w:val="22"/>
        </w:rPr>
        <w:t>:</w:t>
      </w:r>
    </w:p>
    <w:p w14:paraId="3C72F86F" w14:textId="40A96D29"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înlocuirea sau introducerea de membri noi în echipa de implementare a proiectului finanțat, acolo unde este cazul, fără a fi modificate condițiile de eligibilitate ale Proiectului;</w:t>
      </w:r>
    </w:p>
    <w:p w14:paraId="6DC44EF7" w14:textId="00F68E1E"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 xml:space="preserve">modificarea graficului de </w:t>
      </w:r>
      <w:r w:rsidR="00BB7F06" w:rsidRPr="00576CC4">
        <w:rPr>
          <w:rFonts w:asciiTheme="majorBidi" w:hAnsiTheme="majorBidi" w:cstheme="majorBidi"/>
          <w:bCs/>
          <w:sz w:val="22"/>
          <w:szCs w:val="22"/>
        </w:rPr>
        <w:t>activități</w:t>
      </w:r>
      <w:r w:rsidRPr="00576CC4">
        <w:rPr>
          <w:rFonts w:asciiTheme="majorBidi" w:hAnsiTheme="majorBidi" w:cstheme="majorBidi"/>
          <w:bCs/>
          <w:sz w:val="22"/>
          <w:szCs w:val="22"/>
        </w:rPr>
        <w:t xml:space="preserve"> fără să </w:t>
      </w:r>
      <w:r w:rsidR="00BB7F06" w:rsidRPr="00576CC4">
        <w:rPr>
          <w:rFonts w:asciiTheme="majorBidi" w:hAnsiTheme="majorBidi" w:cstheme="majorBidi"/>
          <w:bCs/>
          <w:sz w:val="22"/>
          <w:szCs w:val="22"/>
        </w:rPr>
        <w:t>depășească</w:t>
      </w:r>
      <w:r w:rsidRPr="00576CC4">
        <w:rPr>
          <w:rFonts w:asciiTheme="majorBidi" w:hAnsiTheme="majorBidi" w:cstheme="majorBidi"/>
          <w:bCs/>
          <w:sz w:val="22"/>
          <w:szCs w:val="22"/>
        </w:rPr>
        <w:t xml:space="preserve"> perioada de implementare a Proiectului;</w:t>
      </w:r>
    </w:p>
    <w:p w14:paraId="1F163E23" w14:textId="606E94CE"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modificarea Graficului Cererilor de transfer;</w:t>
      </w:r>
    </w:p>
    <w:p w14:paraId="4BF4AB67" w14:textId="77777777" w:rsidR="00FA2190"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 xml:space="preserve">schimbarea denumirii și/sau schimbarea adresei sediului Beneficiarului; </w:t>
      </w:r>
    </w:p>
    <w:p w14:paraId="6C1F1C0A" w14:textId="77777777" w:rsidR="00FA2190"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sz w:val="22"/>
          <w:szCs w:val="22"/>
        </w:rPr>
        <w:t>schimbarea contului special deschis pentru Proiectul finanțat din PNRR;</w:t>
      </w:r>
    </w:p>
    <w:p w14:paraId="74447A0A" w14:textId="12589A2B"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înlocuirea/modificarea reprezentantului legal.</w:t>
      </w:r>
    </w:p>
    <w:p w14:paraId="020AC5ED" w14:textId="7B63262C" w:rsidR="00982F23" w:rsidRPr="00576CC4"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 xml:space="preserve">Pentru situațiile menționate la alin. (4), lit. f), g) și h), Beneficiarul are obligația de a notifica Ministerul </w:t>
      </w:r>
      <w:r w:rsidRPr="00576CC4">
        <w:rPr>
          <w:rFonts w:asciiTheme="majorBidi" w:hAnsiTheme="majorBidi" w:cstheme="majorBidi"/>
          <w:bCs/>
          <w:sz w:val="22"/>
          <w:szCs w:val="22"/>
        </w:rPr>
        <w:lastRenderedPageBreak/>
        <w:t>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propunerea de modificare a Contractului, prin act adițional, vine din partea Beneficiarului, acesta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o transmite Ministerului Educației, cu cel </w:t>
      </w:r>
      <w:r w:rsidR="00BB7F06" w:rsidRPr="00576CC4">
        <w:rPr>
          <w:rFonts w:asciiTheme="majorBidi" w:hAnsiTheme="majorBidi" w:cstheme="majorBidi"/>
          <w:bCs/>
          <w:sz w:val="22"/>
          <w:szCs w:val="22"/>
        </w:rPr>
        <w:t>puțin</w:t>
      </w:r>
      <w:r w:rsidRPr="00576CC4">
        <w:rPr>
          <w:rFonts w:asciiTheme="majorBidi" w:hAnsiTheme="majorBidi" w:cstheme="majorBidi"/>
          <w:bCs/>
          <w:sz w:val="22"/>
          <w:szCs w:val="22"/>
        </w:rPr>
        <w:t xml:space="preserve"> 20 de zile lucrătoare înainte de termenul la care este </w:t>
      </w:r>
      <w:r w:rsidR="00BB7F06" w:rsidRPr="00576CC4">
        <w:rPr>
          <w:rFonts w:asciiTheme="majorBidi" w:hAnsiTheme="majorBidi" w:cstheme="majorBidi"/>
          <w:bCs/>
          <w:sz w:val="22"/>
          <w:szCs w:val="22"/>
        </w:rPr>
        <w:t>intenționată</w:t>
      </w:r>
      <w:r w:rsidRPr="00576CC4">
        <w:rPr>
          <w:rFonts w:asciiTheme="majorBidi" w:hAnsiTheme="majorBidi" w:cstheme="majorBidi"/>
          <w:bCs/>
          <w:sz w:val="22"/>
          <w:szCs w:val="22"/>
        </w:rPr>
        <w:t xml:space="preserve"> a intra în vigoare. Beneficiarul va transmite, de asemenea, odată cu solicitarea de modificare, toate documentele justificative necesare.</w:t>
      </w:r>
    </w:p>
    <w:p w14:paraId="2C2C8749" w14:textId="74F4290A"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verifică și aprobă actul </w:t>
      </w:r>
      <w:r w:rsidR="00BB7F06" w:rsidRPr="00576CC4">
        <w:rPr>
          <w:rFonts w:asciiTheme="majorBidi" w:hAnsiTheme="majorBidi" w:cstheme="majorBidi"/>
          <w:bCs/>
          <w:sz w:val="22"/>
          <w:szCs w:val="22"/>
        </w:rPr>
        <w:t>adițional</w:t>
      </w:r>
      <w:r w:rsidRPr="00576CC4">
        <w:rPr>
          <w:rFonts w:asciiTheme="majorBidi" w:hAnsiTheme="majorBidi" w:cstheme="majorBidi"/>
          <w:bCs/>
          <w:sz w:val="22"/>
          <w:szCs w:val="22"/>
        </w:rPr>
        <w:t xml:space="preserve"> de modificare a Contractului de finanțare, nu mai târziu de maximum 20 de zile lucrătoare de la înregistrarea solicitării Beneficiarului la Ministerul Educației.</w:t>
      </w:r>
    </w:p>
    <w:p w14:paraId="434ECB9E" w14:textId="166CCDF0"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propunerilor de acte </w:t>
      </w:r>
      <w:r w:rsidR="00BB7F06" w:rsidRPr="00576CC4">
        <w:rPr>
          <w:rFonts w:asciiTheme="majorBidi" w:hAnsiTheme="majorBidi" w:cstheme="majorBidi"/>
          <w:bCs/>
          <w:sz w:val="22"/>
          <w:szCs w:val="22"/>
        </w:rPr>
        <w:t>adiționale</w:t>
      </w:r>
      <w:r w:rsidRPr="00576CC4">
        <w:rPr>
          <w:rFonts w:asciiTheme="majorBidi" w:hAnsiTheme="majorBidi" w:cstheme="majorBidi"/>
          <w:bCs/>
          <w:sz w:val="22"/>
          <w:szCs w:val="22"/>
        </w:rPr>
        <w:t xml:space="preserve"> care au ca obiect reducerea indicatorilor ce urmează a fi realizați prin Proiect, valoarea Proiectului va fi redusă </w:t>
      </w:r>
      <w:r w:rsidR="00BB7F06" w:rsidRPr="00576CC4">
        <w:rPr>
          <w:rFonts w:asciiTheme="majorBidi" w:hAnsiTheme="majorBidi" w:cstheme="majorBidi"/>
          <w:bCs/>
          <w:sz w:val="22"/>
          <w:szCs w:val="22"/>
        </w:rPr>
        <w:t>proporțional</w:t>
      </w:r>
      <w:r w:rsidRPr="00576CC4">
        <w:rPr>
          <w:rFonts w:asciiTheme="majorBidi" w:hAnsiTheme="majorBidi" w:cstheme="majorBidi"/>
          <w:bCs/>
          <w:sz w:val="22"/>
          <w:szCs w:val="22"/>
        </w:rPr>
        <w:t>.</w:t>
      </w:r>
    </w:p>
    <w:p w14:paraId="40E64CE8" w14:textId="672537E4"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Modificarea clauzelor și/sau Anexelor Contractului de finanțare prin act adițional intră în vigoare la data semnării de către ultima parte, cu </w:t>
      </w:r>
      <w:r w:rsidR="00BB7F06" w:rsidRPr="00576CC4">
        <w:rPr>
          <w:rFonts w:asciiTheme="majorBidi" w:hAnsiTheme="majorBidi" w:cstheme="majorBidi"/>
          <w:bCs/>
          <w:sz w:val="22"/>
          <w:szCs w:val="22"/>
        </w:rPr>
        <w:t>excepția</w:t>
      </w:r>
      <w:r w:rsidRPr="00576CC4">
        <w:rPr>
          <w:rFonts w:asciiTheme="majorBidi" w:hAnsiTheme="majorBidi" w:cstheme="majorBidi"/>
          <w:bCs/>
          <w:sz w:val="22"/>
          <w:szCs w:val="22"/>
        </w:rPr>
        <w:t xml:space="preserve"> cazurilor în care prin modificarea contractuală se confirmă modificări intervenite în </w:t>
      </w:r>
      <w:r w:rsidR="00BB7F06" w:rsidRPr="00576CC4">
        <w:rPr>
          <w:rFonts w:asciiTheme="majorBidi" w:hAnsiTheme="majorBidi" w:cstheme="majorBidi"/>
          <w:bCs/>
          <w:sz w:val="22"/>
          <w:szCs w:val="22"/>
        </w:rPr>
        <w:t>legislația</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europeană relevantă, cu impact asupra executării prezentului Contract, </w:t>
      </w:r>
      <w:r w:rsidR="00BB7F06" w:rsidRPr="00576CC4">
        <w:rPr>
          <w:rFonts w:asciiTheme="majorBidi" w:hAnsiTheme="majorBidi" w:cstheme="majorBidi"/>
          <w:bCs/>
          <w:sz w:val="22"/>
          <w:szCs w:val="22"/>
        </w:rPr>
        <w:t>situații</w:t>
      </w:r>
      <w:r w:rsidRPr="00576CC4">
        <w:rPr>
          <w:rFonts w:asciiTheme="majorBidi" w:hAnsiTheme="majorBidi" w:cstheme="majorBidi"/>
          <w:bCs/>
          <w:sz w:val="22"/>
          <w:szCs w:val="22"/>
        </w:rPr>
        <w:t xml:space="preserve"> în care modificarea respectivă intră în vigoare de la data </w:t>
      </w:r>
      <w:r w:rsidR="00BB7F06" w:rsidRPr="00576CC4">
        <w:rPr>
          <w:rFonts w:asciiTheme="majorBidi" w:hAnsiTheme="majorBidi" w:cstheme="majorBidi"/>
          <w:bCs/>
          <w:sz w:val="22"/>
          <w:szCs w:val="22"/>
        </w:rPr>
        <w:t>menționată</w:t>
      </w:r>
      <w:r w:rsidRPr="00576CC4">
        <w:rPr>
          <w:rFonts w:asciiTheme="majorBidi" w:hAnsiTheme="majorBidi" w:cstheme="majorBidi"/>
          <w:bCs/>
          <w:sz w:val="22"/>
          <w:szCs w:val="22"/>
        </w:rPr>
        <w:t xml:space="preserve"> în actul normativ corespunzător. </w:t>
      </w:r>
    </w:p>
    <w:p w14:paraId="5E213852" w14:textId="66CE8CF6"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576CC4">
        <w:rPr>
          <w:rFonts w:asciiTheme="majorBidi" w:hAnsiTheme="majorBidi" w:cstheme="majorBidi"/>
          <w:bCs/>
          <w:sz w:val="22"/>
          <w:szCs w:val="22"/>
        </w:rPr>
        <w:t>solicitanților</w:t>
      </w:r>
      <w:r w:rsidRPr="00576CC4">
        <w:rPr>
          <w:rFonts w:asciiTheme="majorBidi" w:hAnsiTheme="majorBidi" w:cstheme="majorBidi"/>
          <w:bCs/>
          <w:sz w:val="22"/>
          <w:szCs w:val="22"/>
        </w:rPr>
        <w:t>, în cadrul cererilor de propuneri de tip competitiv.</w:t>
      </w:r>
    </w:p>
    <w:p w14:paraId="796BBDD4" w14:textId="77777777" w:rsidR="00C921BE" w:rsidRPr="00576CC4"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3B7A8C0A" w14:textId="1D0B78AC"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 xml:space="preserve">Articolul </w:t>
      </w:r>
      <w:r w:rsidR="00EF22B5" w:rsidRPr="00576CC4">
        <w:rPr>
          <w:rFonts w:asciiTheme="majorBidi" w:hAnsiTheme="majorBidi" w:cstheme="majorBidi"/>
          <w:bCs/>
          <w:sz w:val="22"/>
          <w:szCs w:val="22"/>
        </w:rPr>
        <w:t>1</w:t>
      </w:r>
      <w:r w:rsidR="00EF22B5">
        <w:rPr>
          <w:rFonts w:asciiTheme="majorBidi" w:hAnsiTheme="majorBidi" w:cstheme="majorBidi"/>
          <w:bCs/>
          <w:sz w:val="22"/>
          <w:szCs w:val="22"/>
        </w:rPr>
        <w:t>6</w:t>
      </w:r>
      <w:r w:rsidR="00EF22B5"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 Rezilierea Contractului</w:t>
      </w:r>
    </w:p>
    <w:p w14:paraId="675B24D6" w14:textId="503976AC" w:rsidR="00982F23" w:rsidRPr="00576CC4" w:rsidRDefault="00982F23">
      <w:pPr>
        <w:numPr>
          <w:ilvl w:val="0"/>
          <w:numId w:val="2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Rezilierea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poate interveni 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identificării de către Ministerul Educației a unui caz de nereguli, dublă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ori de nereguli grave sau la solicitarea Beneficiarului, atunci când implementarea Proiectului nu mai este posibilă.</w:t>
      </w:r>
    </w:p>
    <w:p w14:paraId="2EA11157" w14:textId="478A97CD"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cadrul deciziei de reziliere emisă în situațiile prevăzute la alin. (1) din prezentul articol, vor fi individualizate sumele de restituit exprimate în moneda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contul în care Beneficiarul trebuie să efectueze plata.</w:t>
      </w:r>
    </w:p>
    <w:p w14:paraId="74230A26" w14:textId="7671B882"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Decizia de reziliere 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prevăzută la alin. (2) din prezentul articol, constituie titlu de </w:t>
      </w:r>
      <w:r w:rsidR="00BB7F06" w:rsidRPr="00576CC4">
        <w:rPr>
          <w:rFonts w:asciiTheme="majorBidi" w:hAnsiTheme="majorBidi" w:cstheme="majorBidi"/>
          <w:bCs/>
          <w:sz w:val="22"/>
          <w:szCs w:val="22"/>
        </w:rPr>
        <w:t>creanță</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cuprinde elementele actului administrativ-fiscal prevăzute de Legea nr. 207/2015, cu modificările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completările ulterioare.</w:t>
      </w:r>
    </w:p>
    <w:p w14:paraId="7F4941F2" w14:textId="2AEE5BDB"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va propune diminuarea finanțării Contractului de finanțare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recuperarea sumelor acordate până la acel moment aferente indicatorilor nerealizați, în condițiile prevăzute de legislația aplicabilă.</w:t>
      </w:r>
    </w:p>
    <w:p w14:paraId="3873E1B7" w14:textId="4AB6DEEB"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stabilire a </w:t>
      </w:r>
      <w:r w:rsidR="00BB7F06" w:rsidRPr="00576CC4">
        <w:rPr>
          <w:rFonts w:asciiTheme="majorBidi" w:hAnsiTheme="majorBidi" w:cstheme="majorBidi"/>
          <w:bCs/>
          <w:sz w:val="22"/>
          <w:szCs w:val="22"/>
        </w:rPr>
        <w:t>creanțelor</w:t>
      </w:r>
      <w:r w:rsidRPr="00576CC4">
        <w:rPr>
          <w:rFonts w:asciiTheme="majorBidi" w:hAnsiTheme="majorBidi" w:cstheme="majorBidi"/>
          <w:bCs/>
          <w:sz w:val="22"/>
          <w:szCs w:val="22"/>
        </w:rPr>
        <w:t xml:space="preserve"> bugetare, cu recuperarea parțială a sumelor transferate. Sumele afectate nu vor fi incluse în cereri de plată către Comisia Europeană.</w:t>
      </w:r>
    </w:p>
    <w:p w14:paraId="339BA26D" w14:textId="11BCA5B3"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lastRenderedPageBreak/>
        <w:t xml:space="preserve">În cazul în care Beneficiarul nu returnează </w:t>
      </w:r>
      <w:r w:rsidR="00BB7F06" w:rsidRPr="00576CC4">
        <w:rPr>
          <w:rFonts w:asciiTheme="majorBidi" w:hAnsiTheme="majorBidi" w:cstheme="majorBidi"/>
          <w:bCs/>
          <w:sz w:val="22"/>
          <w:szCs w:val="22"/>
        </w:rPr>
        <w:t>finanțarea</w:t>
      </w:r>
      <w:r w:rsidRPr="00576CC4">
        <w:rPr>
          <w:rFonts w:asciiTheme="majorBidi" w:hAnsiTheme="majorBidi" w:cstheme="majorBidi"/>
          <w:bCs/>
          <w:sz w:val="22"/>
          <w:szCs w:val="22"/>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identificării unei </w:t>
      </w:r>
      <w:r w:rsidR="00BB7F06" w:rsidRPr="00576CC4">
        <w:rPr>
          <w:rFonts w:asciiTheme="majorBidi" w:hAnsiTheme="majorBidi" w:cstheme="majorBidi"/>
          <w:bCs/>
          <w:sz w:val="22"/>
          <w:szCs w:val="22"/>
        </w:rPr>
        <w:t>situații</w:t>
      </w:r>
      <w:r w:rsidRPr="00576CC4">
        <w:rPr>
          <w:rFonts w:asciiTheme="majorBidi" w:hAnsiTheme="majorBidi" w:cstheme="majorBidi"/>
          <w:bCs/>
          <w:sz w:val="22"/>
          <w:szCs w:val="22"/>
        </w:rPr>
        <w:t xml:space="preserve"> de dublă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Ministerul Educației va emite, în cazul în care întreaga valoare a </w:t>
      </w:r>
      <w:r w:rsidR="00BB7F06" w:rsidRPr="00576CC4">
        <w:rPr>
          <w:rFonts w:asciiTheme="majorBidi" w:hAnsiTheme="majorBidi" w:cstheme="majorBidi"/>
          <w:bCs/>
          <w:sz w:val="22"/>
          <w:szCs w:val="22"/>
        </w:rPr>
        <w:t>finanțării</w:t>
      </w:r>
      <w:r w:rsidRPr="00576CC4">
        <w:rPr>
          <w:rFonts w:asciiTheme="majorBidi" w:hAnsiTheme="majorBidi" w:cstheme="majorBidi"/>
          <w:bCs/>
          <w:sz w:val="22"/>
          <w:szCs w:val="22"/>
        </w:rPr>
        <w:t xml:space="preserve"> din fonduri europene este afectată, decizii de reziliere 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 care vor fi individualizate sumele de restituit în moneda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 xml:space="preserve">. În cazul afectării </w:t>
      </w:r>
      <w:r w:rsidR="00BB7F06" w:rsidRPr="00576CC4">
        <w:rPr>
          <w:rFonts w:asciiTheme="majorBidi" w:hAnsiTheme="majorBidi" w:cstheme="majorBidi"/>
          <w:bCs/>
          <w:sz w:val="22"/>
          <w:szCs w:val="22"/>
        </w:rPr>
        <w:t>parțiale</w:t>
      </w:r>
      <w:r w:rsidRPr="00576CC4">
        <w:rPr>
          <w:rFonts w:asciiTheme="majorBidi" w:hAnsiTheme="majorBidi" w:cstheme="majorBidi"/>
          <w:bCs/>
          <w:sz w:val="22"/>
          <w:szCs w:val="22"/>
        </w:rPr>
        <w:t xml:space="preserve"> a </w:t>
      </w:r>
      <w:r w:rsidR="00BB7F06" w:rsidRPr="00576CC4">
        <w:rPr>
          <w:rFonts w:asciiTheme="majorBidi" w:hAnsiTheme="majorBidi" w:cstheme="majorBidi"/>
          <w:bCs/>
          <w:sz w:val="22"/>
          <w:szCs w:val="22"/>
        </w:rPr>
        <w:t>finanțării</w:t>
      </w:r>
      <w:r w:rsidRPr="00576CC4">
        <w:rPr>
          <w:rFonts w:asciiTheme="majorBidi" w:hAnsiTheme="majorBidi" w:cstheme="majorBidi"/>
          <w:bCs/>
          <w:sz w:val="22"/>
          <w:szCs w:val="22"/>
        </w:rPr>
        <w:t xml:space="preserve"> din fonduri europene, va fi emis proces-verbal de constatare a neregulilor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stabilire a </w:t>
      </w:r>
      <w:r w:rsidR="00BB7F06" w:rsidRPr="00576CC4">
        <w:rPr>
          <w:rFonts w:asciiTheme="majorBidi" w:hAnsiTheme="majorBidi" w:cstheme="majorBidi"/>
          <w:bCs/>
          <w:sz w:val="22"/>
          <w:szCs w:val="22"/>
        </w:rPr>
        <w:t>creanțelor</w:t>
      </w:r>
      <w:r w:rsidRPr="00576CC4">
        <w:rPr>
          <w:rFonts w:asciiTheme="majorBidi" w:hAnsiTheme="majorBidi" w:cstheme="majorBidi"/>
          <w:bCs/>
          <w:sz w:val="22"/>
          <w:szCs w:val="22"/>
        </w:rPr>
        <w:t xml:space="preserve"> bugetare. Sumele afectate nu vor fi incluse în cereri de plată către Comisia Europeană. </w:t>
      </w:r>
    </w:p>
    <w:p w14:paraId="11953559" w14:textId="1A99D112"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se obligă să nu solicite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să nu primească </w:t>
      </w:r>
      <w:r w:rsidR="00BB7F06" w:rsidRPr="00576CC4">
        <w:rPr>
          <w:rFonts w:asciiTheme="majorBidi" w:hAnsiTheme="majorBidi" w:cstheme="majorBidi"/>
          <w:bCs/>
          <w:sz w:val="22"/>
          <w:szCs w:val="22"/>
        </w:rPr>
        <w:t>finanțări</w:t>
      </w:r>
      <w:r w:rsidRPr="00576CC4">
        <w:rPr>
          <w:rFonts w:asciiTheme="majorBidi" w:hAnsiTheme="majorBidi" w:cstheme="majorBidi"/>
          <w:bCs/>
          <w:sz w:val="22"/>
          <w:szCs w:val="22"/>
        </w:rPr>
        <w:t xml:space="preserve"> din alte surse publice pentru </w:t>
      </w:r>
      <w:r w:rsidR="00BB7F06" w:rsidRPr="00576CC4">
        <w:rPr>
          <w:rFonts w:asciiTheme="majorBidi" w:hAnsiTheme="majorBidi" w:cstheme="majorBidi"/>
          <w:bCs/>
          <w:sz w:val="22"/>
          <w:szCs w:val="22"/>
        </w:rPr>
        <w:t>aceleași</w:t>
      </w:r>
      <w:r w:rsidRPr="00576CC4">
        <w:rPr>
          <w:rFonts w:asciiTheme="majorBidi" w:hAnsiTheme="majorBidi" w:cstheme="majorBidi"/>
          <w:bCs/>
          <w:sz w:val="22"/>
          <w:szCs w:val="22"/>
        </w:rPr>
        <w:t xml:space="preserve"> cheltuieli eligibile ale proiectului, sub </w:t>
      </w:r>
      <w:r w:rsidR="00BB7F06" w:rsidRPr="00576CC4">
        <w:rPr>
          <w:rFonts w:asciiTheme="majorBidi" w:hAnsiTheme="majorBidi" w:cstheme="majorBidi"/>
          <w:bCs/>
          <w:sz w:val="22"/>
          <w:szCs w:val="22"/>
        </w:rPr>
        <w:t>sancțiunea</w:t>
      </w:r>
      <w:r w:rsidRPr="00576CC4">
        <w:rPr>
          <w:rFonts w:asciiTheme="majorBidi" w:hAnsiTheme="majorBidi" w:cstheme="majorBidi"/>
          <w:bCs/>
          <w:sz w:val="22"/>
          <w:szCs w:val="22"/>
        </w:rPr>
        <w:t xml:space="preserve"> rezilierii contractului.</w:t>
      </w:r>
    </w:p>
    <w:p w14:paraId="77699197" w14:textId="77777777" w:rsidR="00C921BE" w:rsidRPr="00576CC4"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242C5467" w14:textId="5C212BE2"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 xml:space="preserve">Articolul </w:t>
      </w:r>
      <w:r w:rsidR="00EF22B5" w:rsidRPr="00576CC4">
        <w:rPr>
          <w:rFonts w:asciiTheme="majorBidi" w:hAnsiTheme="majorBidi" w:cstheme="majorBidi"/>
          <w:bCs/>
          <w:sz w:val="22"/>
          <w:szCs w:val="22"/>
        </w:rPr>
        <w:t>1</w:t>
      </w:r>
      <w:r w:rsidR="00EF22B5">
        <w:rPr>
          <w:rFonts w:asciiTheme="majorBidi" w:hAnsiTheme="majorBidi" w:cstheme="majorBidi"/>
          <w:bCs/>
          <w:sz w:val="22"/>
          <w:szCs w:val="22"/>
        </w:rPr>
        <w:t>7</w:t>
      </w:r>
      <w:r w:rsidR="00EF22B5"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 Încetarea Contractului</w:t>
      </w:r>
    </w:p>
    <w:p w14:paraId="53AEA851" w14:textId="77777777" w:rsidR="00982F23" w:rsidRPr="00576CC4" w:rsidRDefault="00982F23" w:rsidP="00FA2190">
      <w:pPr>
        <w:ind w:left="540"/>
        <w:jc w:val="both"/>
        <w:rPr>
          <w:rFonts w:asciiTheme="majorBidi" w:hAnsiTheme="majorBidi" w:cstheme="majorBidi"/>
          <w:b/>
          <w:bCs/>
          <w:sz w:val="22"/>
          <w:szCs w:val="22"/>
        </w:rPr>
      </w:pPr>
      <w:r w:rsidRPr="00576CC4">
        <w:rPr>
          <w:rFonts w:asciiTheme="majorBidi" w:hAnsiTheme="majorBidi" w:cstheme="majorBidi"/>
          <w:sz w:val="22"/>
          <w:szCs w:val="22"/>
        </w:rPr>
        <w:t>Prezentul Contract încetează de drept la data îndeplinirii de către părți a obligațiilor ce le revin, conform</w:t>
      </w:r>
      <w:r w:rsidRPr="00576CC4">
        <w:rPr>
          <w:rFonts w:asciiTheme="majorBidi" w:hAnsiTheme="majorBidi" w:cstheme="majorBidi"/>
          <w:bCs/>
          <w:sz w:val="22"/>
          <w:szCs w:val="22"/>
        </w:rPr>
        <w:t xml:space="preserve"> </w:t>
      </w:r>
      <w:r w:rsidRPr="00576CC4">
        <w:rPr>
          <w:rFonts w:asciiTheme="majorBidi" w:hAnsiTheme="majorBidi" w:cstheme="majorBidi"/>
          <w:bCs/>
          <w:sz w:val="22"/>
          <w:szCs w:val="22"/>
          <w:shd w:val="clear" w:color="auto" w:fill="FFFFFF"/>
        </w:rPr>
        <w:t>prevederilor</w:t>
      </w:r>
      <w:r w:rsidRPr="00576CC4">
        <w:rPr>
          <w:rFonts w:asciiTheme="majorBidi" w:hAnsiTheme="majorBidi" w:cstheme="majorBidi"/>
          <w:bCs/>
          <w:sz w:val="22"/>
          <w:szCs w:val="22"/>
        </w:rPr>
        <w:t xml:space="preserve"> art. 1. </w:t>
      </w:r>
    </w:p>
    <w:p w14:paraId="6947BD36" w14:textId="77777777" w:rsidR="00C921BE" w:rsidRPr="00576CC4"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6E7C0E67" w14:textId="7F9D6F4A"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 xml:space="preserve">Articolul </w:t>
      </w:r>
      <w:r w:rsidR="00EF22B5" w:rsidRPr="00576CC4">
        <w:rPr>
          <w:rFonts w:asciiTheme="majorBidi" w:hAnsiTheme="majorBidi" w:cstheme="majorBidi"/>
          <w:bCs/>
          <w:sz w:val="22"/>
          <w:szCs w:val="22"/>
        </w:rPr>
        <w:t>1</w:t>
      </w:r>
      <w:r w:rsidR="00EF22B5">
        <w:rPr>
          <w:rFonts w:asciiTheme="majorBidi" w:hAnsiTheme="majorBidi" w:cstheme="majorBidi"/>
          <w:bCs/>
          <w:sz w:val="22"/>
          <w:szCs w:val="22"/>
        </w:rPr>
        <w:t>8</w:t>
      </w:r>
      <w:r w:rsidR="00EF22B5"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 Clauză suspensivă</w:t>
      </w:r>
    </w:p>
    <w:p w14:paraId="28418399" w14:textId="0CFFDAD2" w:rsidR="00982F23" w:rsidRPr="00576CC4" w:rsidRDefault="00982F23">
      <w:pPr>
        <w:pStyle w:val="ListParagraph"/>
        <w:numPr>
          <w:ilvl w:val="2"/>
          <w:numId w:val="22"/>
        </w:numP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Prezentul Contract este condiționat de îndeplinirea de către Beneficiar a obligațiilor prevăzute la art. 5, alin (32). </w:t>
      </w:r>
    </w:p>
    <w:p w14:paraId="746259EC" w14:textId="3BD56616" w:rsidR="00982F23" w:rsidRPr="00576CC4" w:rsidRDefault="00982F23">
      <w:pPr>
        <w:pStyle w:val="ListParagraph"/>
        <w:numPr>
          <w:ilvl w:val="2"/>
          <w:numId w:val="22"/>
        </w:numP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Dacă Beneficiarul nu furnizează documentele suport în termen de 20 zile de la data semnării contractului, prevăzut la art</w:t>
      </w:r>
      <w:r w:rsidR="00BB7F06" w:rsidRPr="00576CC4">
        <w:rPr>
          <w:rFonts w:asciiTheme="majorBidi" w:hAnsiTheme="majorBidi" w:cstheme="majorBidi"/>
          <w:bCs/>
          <w:sz w:val="22"/>
          <w:szCs w:val="22"/>
        </w:rPr>
        <w:t>.</w:t>
      </w:r>
      <w:r w:rsidRPr="00576CC4">
        <w:rPr>
          <w:rFonts w:asciiTheme="majorBidi" w:hAnsiTheme="majorBidi" w:cstheme="majorBidi"/>
          <w:bCs/>
          <w:sz w:val="22"/>
          <w:szCs w:val="22"/>
        </w:rPr>
        <w:t xml:space="preserve">5 alin. (32) sau se constată că Beneficiarul a furnizat </w:t>
      </w:r>
      <w:r w:rsidR="00BB7F06" w:rsidRPr="00576CC4">
        <w:rPr>
          <w:rFonts w:asciiTheme="majorBidi" w:hAnsiTheme="majorBidi" w:cstheme="majorBidi"/>
          <w:bCs/>
          <w:sz w:val="22"/>
          <w:szCs w:val="22"/>
        </w:rPr>
        <w:t>informații</w:t>
      </w:r>
      <w:r w:rsidRPr="00576CC4">
        <w:rPr>
          <w:rFonts w:asciiTheme="majorBidi" w:hAnsiTheme="majorBidi" w:cstheme="majorBidi"/>
          <w:bCs/>
          <w:sz w:val="22"/>
          <w:szCs w:val="22"/>
        </w:rPr>
        <w:t xml:space="preserve"> false, prezentul contract devine nul de drept.</w:t>
      </w:r>
    </w:p>
    <w:p w14:paraId="5288EA58" w14:textId="77777777" w:rsidR="00C921BE" w:rsidRPr="00576CC4" w:rsidRDefault="00C921BE" w:rsidP="00FA2190">
      <w:pPr>
        <w:jc w:val="both"/>
        <w:rPr>
          <w:rFonts w:asciiTheme="majorBidi" w:hAnsiTheme="majorBidi" w:cstheme="majorBidi"/>
          <w:sz w:val="22"/>
          <w:szCs w:val="22"/>
        </w:rPr>
      </w:pPr>
    </w:p>
    <w:p w14:paraId="7C20AEAA" w14:textId="55C36331"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1</w:t>
      </w:r>
      <w:r w:rsidR="00EF22B5">
        <w:rPr>
          <w:rFonts w:asciiTheme="majorBidi" w:hAnsiTheme="majorBidi" w:cstheme="majorBidi"/>
          <w:sz w:val="22"/>
          <w:szCs w:val="22"/>
        </w:rPr>
        <w:t>9</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Transparență</w:t>
      </w:r>
    </w:p>
    <w:p w14:paraId="0CD99A62" w14:textId="1CF432F7" w:rsidR="00982F23" w:rsidRPr="00576CC4" w:rsidRDefault="00982F23">
      <w:pPr>
        <w:widowControl/>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576CC4">
        <w:rPr>
          <w:rFonts w:asciiTheme="majorBidi" w:hAnsiTheme="majorBidi" w:cstheme="majorBidi"/>
          <w:bCs/>
          <w:sz w:val="22"/>
          <w:szCs w:val="22"/>
        </w:rPr>
        <w:t>informațiile</w:t>
      </w:r>
      <w:r w:rsidRPr="00576CC4">
        <w:rPr>
          <w:rFonts w:asciiTheme="majorBidi" w:hAnsiTheme="majorBidi" w:cstheme="majorBidi"/>
          <w:bCs/>
          <w:sz w:val="22"/>
          <w:szCs w:val="22"/>
        </w:rPr>
        <w:t xml:space="preserve"> de interes public, cu modificările și completările ulterioare, cu respectarea excepțiilor prevăzute de aceasta și a celor stabilite prin prezentul Contract.</w:t>
      </w:r>
    </w:p>
    <w:p w14:paraId="1304675D" w14:textId="77777777" w:rsidR="00982F23" w:rsidRPr="00576CC4" w:rsidRDefault="00982F23">
      <w:pPr>
        <w:widowControl/>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denumirea Proiectului, denumirea completă a Beneficiarului, data de începere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dimensiunea și caracteristicile grupului țintă și, după caz, ale beneficiarilor finali ai Proiectului;</w:t>
      </w:r>
    </w:p>
    <w:p w14:paraId="42E61610" w14:textId="5264E232"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informații privind resursele umane din cadrul Proiectului: nume, denumirea postului, timpul de lucru; </w:t>
      </w:r>
    </w:p>
    <w:p w14:paraId="0FE92DB2" w14:textId="6FDB92A8"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rezultatele estimate și cele realizate ale Proiectului, atât cele corespunzătoare obiectivelor, cât și cele corespunzătoare activităților, cu referire la indicatorii stabiliți;</w:t>
      </w:r>
    </w:p>
    <w:p w14:paraId="7F8ABCE2" w14:textId="47B4054C"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denumirea furnizorilor de produse, prestatorilor de servicii și executanților de lucrări contractați în </w:t>
      </w:r>
      <w:r w:rsidRPr="00576CC4">
        <w:rPr>
          <w:rFonts w:asciiTheme="majorBidi" w:hAnsiTheme="majorBidi" w:cstheme="majorBidi"/>
          <w:bCs/>
          <w:sz w:val="22"/>
          <w:szCs w:val="22"/>
        </w:rPr>
        <w:lastRenderedPageBreak/>
        <w:t>cadrul Proiectului, precum și obiectul Contractului, valoarea acestuia și plățile efectuate.</w:t>
      </w:r>
    </w:p>
    <w:p w14:paraId="2F236EB0" w14:textId="77777777" w:rsidR="00C921BE" w:rsidRPr="00576CC4" w:rsidRDefault="00C921BE" w:rsidP="00FA2190">
      <w:pPr>
        <w:jc w:val="both"/>
        <w:rPr>
          <w:rFonts w:asciiTheme="majorBidi" w:hAnsiTheme="majorBidi" w:cstheme="majorBidi"/>
          <w:sz w:val="22"/>
          <w:szCs w:val="22"/>
        </w:rPr>
      </w:pPr>
    </w:p>
    <w:p w14:paraId="087D254A" w14:textId="43C12BA3"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Pr>
          <w:rFonts w:asciiTheme="majorBidi" w:hAnsiTheme="majorBidi" w:cstheme="majorBidi"/>
          <w:sz w:val="22"/>
          <w:szCs w:val="22"/>
        </w:rPr>
        <w:t>20</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xml:space="preserve">– </w:t>
      </w:r>
      <w:r w:rsidR="00BB7F06" w:rsidRPr="00576CC4">
        <w:rPr>
          <w:rFonts w:asciiTheme="majorBidi" w:hAnsiTheme="majorBidi" w:cstheme="majorBidi"/>
          <w:sz w:val="22"/>
          <w:szCs w:val="22"/>
        </w:rPr>
        <w:t>Corespondența</w:t>
      </w:r>
      <w:r w:rsidRPr="00576CC4">
        <w:rPr>
          <w:rFonts w:asciiTheme="majorBidi" w:hAnsiTheme="majorBidi" w:cstheme="majorBidi"/>
          <w:sz w:val="22"/>
          <w:szCs w:val="22"/>
        </w:rPr>
        <w:t xml:space="preserve"> </w:t>
      </w:r>
    </w:p>
    <w:p w14:paraId="221AA372" w14:textId="5043769A" w:rsidR="00982F23" w:rsidRPr="00576CC4" w:rsidRDefault="00982F23" w:rsidP="001B09B4">
      <w:pPr>
        <w:widowControl/>
        <w:tabs>
          <w:tab w:val="left" w:pos="540"/>
        </w:tabs>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 xml:space="preserve">Întreaga </w:t>
      </w:r>
      <w:r w:rsidR="00BB7F06" w:rsidRPr="00576CC4">
        <w:rPr>
          <w:rFonts w:asciiTheme="majorBidi" w:hAnsiTheme="majorBidi" w:cstheme="majorBidi"/>
          <w:bCs/>
          <w:sz w:val="22"/>
          <w:szCs w:val="22"/>
        </w:rPr>
        <w:t>corespondență</w:t>
      </w:r>
      <w:r w:rsidRPr="00576CC4">
        <w:rPr>
          <w:rFonts w:asciiTheme="majorBidi" w:hAnsiTheme="majorBidi" w:cstheme="majorBidi"/>
          <w:bCs/>
          <w:sz w:val="22"/>
          <w:szCs w:val="22"/>
        </w:rPr>
        <w:t xml:space="preserve"> legată de prezentul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se va face în scris, prin fax sau prin intermediul mijloacelor electronice de corespondență (poșta electronică/prin sistemul informatic</w:t>
      </w:r>
      <w:r w:rsidR="001B09B4" w:rsidRPr="00576CC4">
        <w:rPr>
          <w:rFonts w:asciiTheme="majorBidi" w:hAnsiTheme="majorBidi" w:cstheme="majorBidi"/>
          <w:bCs/>
          <w:sz w:val="22"/>
          <w:szCs w:val="22"/>
        </w:rPr>
        <w:t xml:space="preserve"> </w:t>
      </w:r>
      <w:r w:rsidR="008F3FDD"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sau în format fizic la următoarele adrese:</w:t>
      </w:r>
    </w:p>
    <w:p w14:paraId="72FD0189" w14:textId="6AFFDF54" w:rsidR="00982F23" w:rsidRPr="00576CC4" w:rsidRDefault="00982F23" w:rsidP="001B09B4">
      <w:pPr>
        <w:tabs>
          <w:tab w:val="left" w:pos="900"/>
        </w:tabs>
        <w:spacing w:line="276" w:lineRule="auto"/>
        <w:ind w:left="900" w:hanging="360"/>
        <w:jc w:val="both"/>
        <w:rPr>
          <w:rFonts w:asciiTheme="majorBidi" w:hAnsiTheme="majorBidi" w:cstheme="majorBidi"/>
          <w:bCs/>
          <w:sz w:val="22"/>
          <w:szCs w:val="22"/>
        </w:rPr>
      </w:pPr>
      <w:r w:rsidRPr="00576CC4">
        <w:rPr>
          <w:rFonts w:asciiTheme="majorBidi" w:hAnsiTheme="majorBidi" w:cstheme="majorBidi"/>
          <w:bCs/>
          <w:sz w:val="22"/>
          <w:szCs w:val="22"/>
        </w:rPr>
        <w:t xml:space="preserve">Pentru Ministerul </w:t>
      </w:r>
      <w:r w:rsidR="00BB7F06" w:rsidRPr="00576CC4">
        <w:rPr>
          <w:rFonts w:asciiTheme="majorBidi" w:hAnsiTheme="majorBidi" w:cstheme="majorBidi"/>
          <w:bCs/>
          <w:sz w:val="22"/>
          <w:szCs w:val="22"/>
        </w:rPr>
        <w:t>Educației</w:t>
      </w:r>
      <w:r w:rsidRPr="00576CC4">
        <w:rPr>
          <w:rFonts w:asciiTheme="majorBidi" w:hAnsiTheme="majorBidi" w:cstheme="majorBidi"/>
          <w:bCs/>
          <w:sz w:val="22"/>
          <w:szCs w:val="22"/>
        </w:rPr>
        <w:t xml:space="preserve">: </w:t>
      </w:r>
      <w:r w:rsidRPr="00576CC4">
        <w:rPr>
          <w:rFonts w:asciiTheme="majorBidi" w:hAnsiTheme="majorBidi" w:cstheme="majorBidi"/>
          <w:bCs/>
          <w:sz w:val="22"/>
          <w:szCs w:val="22"/>
          <w:shd w:val="clear" w:color="auto" w:fill="FFFFFF"/>
        </w:rPr>
        <w:t xml:space="preserve">str. General Berthelot, nr. 28-30, Sector 1, 010168, </w:t>
      </w:r>
      <w:r w:rsidR="00BB7F06" w:rsidRPr="00576CC4">
        <w:rPr>
          <w:rFonts w:asciiTheme="majorBidi" w:hAnsiTheme="majorBidi" w:cstheme="majorBidi"/>
          <w:bCs/>
          <w:sz w:val="22"/>
          <w:szCs w:val="22"/>
          <w:shd w:val="clear" w:color="auto" w:fill="FFFFFF"/>
        </w:rPr>
        <w:t>București</w:t>
      </w:r>
    </w:p>
    <w:p w14:paraId="6F30DCA7" w14:textId="0D85EDEF" w:rsidR="00982F23" w:rsidRPr="00576CC4" w:rsidRDefault="00982F23" w:rsidP="001B09B4">
      <w:pPr>
        <w:tabs>
          <w:tab w:val="left" w:pos="900"/>
        </w:tabs>
        <w:spacing w:line="276" w:lineRule="auto"/>
        <w:ind w:left="900" w:hanging="360"/>
        <w:jc w:val="both"/>
        <w:rPr>
          <w:rFonts w:asciiTheme="majorBidi" w:hAnsiTheme="majorBidi" w:cstheme="majorBidi"/>
          <w:bCs/>
          <w:noProof/>
          <w:sz w:val="22"/>
          <w:szCs w:val="22"/>
        </w:rPr>
      </w:pPr>
      <w:r w:rsidRPr="00576CC4">
        <w:rPr>
          <w:rFonts w:asciiTheme="majorBidi" w:hAnsiTheme="majorBidi" w:cstheme="majorBidi"/>
          <w:bCs/>
          <w:sz w:val="22"/>
          <w:szCs w:val="22"/>
        </w:rPr>
        <w:t xml:space="preserve">Pentru Beneficiar: </w:t>
      </w:r>
      <w:r w:rsidR="008F3FDD" w:rsidRPr="00576CC4">
        <w:rPr>
          <w:rFonts w:asciiTheme="majorBidi" w:hAnsiTheme="majorBidi" w:cstheme="majorBidi"/>
          <w:bCs/>
          <w:noProof/>
          <w:sz w:val="22"/>
          <w:szCs w:val="22"/>
        </w:rPr>
        <w:t>..................................................</w:t>
      </w:r>
    </w:p>
    <w:p w14:paraId="6605B4D3" w14:textId="10E1BA8E" w:rsidR="008F3FDD" w:rsidRPr="00576CC4" w:rsidRDefault="008F3FDD" w:rsidP="001B09B4">
      <w:pPr>
        <w:tabs>
          <w:tab w:val="left" w:pos="900"/>
        </w:tabs>
        <w:spacing w:line="276" w:lineRule="auto"/>
        <w:ind w:left="900" w:hanging="360"/>
        <w:jc w:val="both"/>
        <w:rPr>
          <w:rFonts w:asciiTheme="majorBidi" w:hAnsiTheme="majorBidi" w:cstheme="majorBidi"/>
          <w:bCs/>
          <w:sz w:val="22"/>
          <w:szCs w:val="22"/>
        </w:rPr>
      </w:pPr>
      <w:r w:rsidRPr="00576CC4">
        <w:rPr>
          <w:rFonts w:asciiTheme="majorBidi" w:hAnsiTheme="majorBidi" w:cstheme="majorBidi"/>
          <w:bCs/>
          <w:noProof/>
          <w:sz w:val="22"/>
          <w:szCs w:val="22"/>
        </w:rPr>
        <w:t>.....................................................................................</w:t>
      </w:r>
    </w:p>
    <w:p w14:paraId="3584C63B" w14:textId="77777777" w:rsidR="00C921BE" w:rsidRPr="00576CC4" w:rsidRDefault="00C921BE" w:rsidP="00FA2190">
      <w:pPr>
        <w:jc w:val="both"/>
        <w:rPr>
          <w:rFonts w:asciiTheme="majorBidi" w:hAnsiTheme="majorBidi" w:cstheme="majorBidi"/>
          <w:sz w:val="22"/>
          <w:szCs w:val="22"/>
        </w:rPr>
      </w:pPr>
    </w:p>
    <w:p w14:paraId="408DE47C" w14:textId="64B3E813" w:rsidR="00982F23" w:rsidRPr="00576CC4" w:rsidRDefault="00982F23" w:rsidP="00FA2190">
      <w:pPr>
        <w:jc w:val="both"/>
        <w:rPr>
          <w:rFonts w:asciiTheme="majorBidi" w:hAnsiTheme="majorBidi" w:cstheme="majorBidi"/>
          <w:b/>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2</w:t>
      </w:r>
      <w:r w:rsidR="00EF22B5">
        <w:rPr>
          <w:rFonts w:asciiTheme="majorBidi" w:hAnsiTheme="majorBidi" w:cstheme="majorBidi"/>
          <w:sz w:val="22"/>
          <w:szCs w:val="22"/>
        </w:rPr>
        <w:t>1</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xml:space="preserve">- Legea aplicabilă </w:t>
      </w:r>
      <w:r w:rsidR="00BB7F06" w:rsidRPr="00576CC4">
        <w:rPr>
          <w:rFonts w:asciiTheme="majorBidi" w:hAnsiTheme="majorBidi" w:cstheme="majorBidi"/>
          <w:b/>
          <w:sz w:val="22"/>
          <w:szCs w:val="22"/>
        </w:rPr>
        <w:t>și</w:t>
      </w:r>
      <w:r w:rsidRPr="00576CC4">
        <w:rPr>
          <w:rFonts w:asciiTheme="majorBidi" w:hAnsiTheme="majorBidi" w:cstheme="majorBidi"/>
          <w:sz w:val="22"/>
          <w:szCs w:val="22"/>
        </w:rPr>
        <w:t xml:space="preserve"> limba utilizată</w:t>
      </w:r>
    </w:p>
    <w:p w14:paraId="1E833F97" w14:textId="64C4437E" w:rsidR="00982F23" w:rsidRPr="00576CC4" w:rsidRDefault="00982F23">
      <w:pPr>
        <w:widowControl/>
        <w:numPr>
          <w:ilvl w:val="0"/>
          <w:numId w:val="14"/>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Legea care guvernează acest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în conformitate cu care este interpretat este legea română.</w:t>
      </w:r>
    </w:p>
    <w:p w14:paraId="2C2B55D4" w14:textId="2D7851A3" w:rsidR="00982F23" w:rsidRPr="00576CC4" w:rsidRDefault="00982F23">
      <w:pPr>
        <w:widowControl/>
        <w:numPr>
          <w:ilvl w:val="0"/>
          <w:numId w:val="14"/>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Limba acestui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este limba română. </w:t>
      </w:r>
    </w:p>
    <w:p w14:paraId="40D1F7F1" w14:textId="77777777" w:rsidR="00C921BE" w:rsidRPr="00576CC4" w:rsidRDefault="00C921BE" w:rsidP="00FA2190">
      <w:pPr>
        <w:jc w:val="both"/>
        <w:rPr>
          <w:rFonts w:asciiTheme="majorBidi" w:hAnsiTheme="majorBidi" w:cstheme="majorBidi"/>
          <w:sz w:val="22"/>
          <w:szCs w:val="22"/>
        </w:rPr>
      </w:pPr>
    </w:p>
    <w:p w14:paraId="158874EB" w14:textId="64DB1544"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2</w:t>
      </w:r>
      <w:r w:rsidR="00EF22B5">
        <w:rPr>
          <w:rFonts w:asciiTheme="majorBidi" w:hAnsiTheme="majorBidi" w:cstheme="majorBidi"/>
          <w:sz w:val="22"/>
          <w:szCs w:val="22"/>
        </w:rPr>
        <w:t>2</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Dispoziții finale</w:t>
      </w:r>
    </w:p>
    <w:p w14:paraId="2EFA191D" w14:textId="23EE6FF3" w:rsidR="00982F23"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Părţile vor depune cu bună </w:t>
      </w:r>
      <w:r w:rsidR="00BB7F06" w:rsidRPr="00576CC4">
        <w:rPr>
          <w:rFonts w:asciiTheme="majorBidi" w:hAnsiTheme="majorBidi" w:cstheme="majorBidi"/>
          <w:bCs/>
          <w:sz w:val="22"/>
          <w:szCs w:val="22"/>
        </w:rPr>
        <w:t>credință</w:t>
      </w:r>
      <w:r w:rsidRPr="00576CC4">
        <w:rPr>
          <w:rFonts w:asciiTheme="majorBidi" w:hAnsiTheme="majorBidi" w:cstheme="majorBidi"/>
          <w:bCs/>
          <w:sz w:val="22"/>
          <w:szCs w:val="22"/>
        </w:rPr>
        <w:t xml:space="preserve"> toate </w:t>
      </w:r>
      <w:r w:rsidR="00BB7F06" w:rsidRPr="00576CC4">
        <w:rPr>
          <w:rFonts w:asciiTheme="majorBidi" w:hAnsiTheme="majorBidi" w:cstheme="majorBidi"/>
          <w:bCs/>
          <w:sz w:val="22"/>
          <w:szCs w:val="22"/>
        </w:rPr>
        <w:t>diligențele</w:t>
      </w:r>
      <w:r w:rsidRPr="00576CC4">
        <w:rPr>
          <w:rFonts w:asciiTheme="majorBidi" w:hAnsiTheme="majorBidi" w:cstheme="majorBidi"/>
          <w:bCs/>
          <w:sz w:val="22"/>
          <w:szCs w:val="22"/>
        </w:rPr>
        <w:t xml:space="preserve"> necesare în vederea </w:t>
      </w:r>
      <w:r w:rsidR="00BB7F06" w:rsidRPr="00576CC4">
        <w:rPr>
          <w:rFonts w:asciiTheme="majorBidi" w:hAnsiTheme="majorBidi" w:cstheme="majorBidi"/>
          <w:bCs/>
          <w:sz w:val="22"/>
          <w:szCs w:val="22"/>
        </w:rPr>
        <w:t>soluționării</w:t>
      </w:r>
      <w:r w:rsidRPr="00576CC4">
        <w:rPr>
          <w:rFonts w:asciiTheme="majorBidi" w:hAnsiTheme="majorBidi" w:cstheme="majorBidi"/>
          <w:bCs/>
          <w:sz w:val="22"/>
          <w:szCs w:val="22"/>
        </w:rPr>
        <w:t xml:space="preserve"> pe cale amiabilă a oricărei dispute, controverse sau </w:t>
      </w:r>
      <w:r w:rsidR="00BB7F06" w:rsidRPr="00576CC4">
        <w:rPr>
          <w:rFonts w:asciiTheme="majorBidi" w:hAnsiTheme="majorBidi" w:cstheme="majorBidi"/>
          <w:bCs/>
          <w:sz w:val="22"/>
          <w:szCs w:val="22"/>
        </w:rPr>
        <w:t>neînțelegeri</w:t>
      </w:r>
      <w:r w:rsidRPr="00576CC4">
        <w:rPr>
          <w:rFonts w:asciiTheme="majorBidi" w:hAnsiTheme="majorBidi" w:cstheme="majorBidi"/>
          <w:bCs/>
          <w:sz w:val="22"/>
          <w:szCs w:val="22"/>
        </w:rPr>
        <w:t xml:space="preserve"> între </w:t>
      </w:r>
      <w:r w:rsidR="00BB7F06" w:rsidRPr="00576CC4">
        <w:rPr>
          <w:rFonts w:asciiTheme="majorBidi" w:hAnsiTheme="majorBidi" w:cstheme="majorBidi"/>
          <w:bCs/>
          <w:sz w:val="22"/>
          <w:szCs w:val="22"/>
        </w:rPr>
        <w:t>Părți</w:t>
      </w:r>
      <w:r w:rsidRPr="00576CC4">
        <w:rPr>
          <w:rFonts w:asciiTheme="majorBidi" w:hAnsiTheme="majorBidi" w:cstheme="majorBidi"/>
          <w:bCs/>
          <w:sz w:val="22"/>
          <w:szCs w:val="22"/>
        </w:rPr>
        <w:t>, ce decurg din sau în legătură cu prezentul Contractul de finanțare.</w:t>
      </w:r>
    </w:p>
    <w:p w14:paraId="4BA23AC9" w14:textId="3BE5828F" w:rsidR="00982F23"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nu se poate ajunge la un rezultat privind </w:t>
      </w:r>
      <w:r w:rsidR="00BB7F06" w:rsidRPr="00576CC4">
        <w:rPr>
          <w:rFonts w:asciiTheme="majorBidi" w:hAnsiTheme="majorBidi" w:cstheme="majorBidi"/>
          <w:bCs/>
          <w:sz w:val="22"/>
          <w:szCs w:val="22"/>
        </w:rPr>
        <w:t>soluționarea</w:t>
      </w:r>
      <w:r w:rsidRPr="00576CC4">
        <w:rPr>
          <w:rFonts w:asciiTheme="majorBidi" w:hAnsiTheme="majorBidi" w:cstheme="majorBidi"/>
          <w:bCs/>
          <w:sz w:val="22"/>
          <w:szCs w:val="22"/>
        </w:rPr>
        <w:t xml:space="preserve"> pe cale amiabilă în termen de 30 de zile, orice litigiu care decurge din sau în legătură cu prezentul Contractul de finanțare va fi </w:t>
      </w:r>
      <w:r w:rsidR="00BB7F06" w:rsidRPr="00576CC4">
        <w:rPr>
          <w:rFonts w:asciiTheme="majorBidi" w:hAnsiTheme="majorBidi" w:cstheme="majorBidi"/>
          <w:bCs/>
          <w:sz w:val="22"/>
          <w:szCs w:val="22"/>
        </w:rPr>
        <w:t>soluționat</w:t>
      </w:r>
      <w:r w:rsidRPr="00576CC4">
        <w:rPr>
          <w:rFonts w:asciiTheme="majorBidi" w:hAnsiTheme="majorBidi" w:cstheme="majorBidi"/>
          <w:bCs/>
          <w:sz w:val="22"/>
          <w:szCs w:val="22"/>
        </w:rPr>
        <w:t xml:space="preserve"> în conformitate cu </w:t>
      </w:r>
      <w:r w:rsidR="00BB7F06" w:rsidRPr="00576CC4">
        <w:rPr>
          <w:rFonts w:asciiTheme="majorBidi" w:hAnsiTheme="majorBidi" w:cstheme="majorBidi"/>
          <w:bCs/>
          <w:sz w:val="22"/>
          <w:szCs w:val="22"/>
        </w:rPr>
        <w:t>legislația</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w:t>
      </w:r>
    </w:p>
    <w:p w14:paraId="6E11C985" w14:textId="0A985194" w:rsidR="00C921BE"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În situații temeinic justificate determinate de </w:t>
      </w:r>
      <w:r w:rsidR="00BB7F06" w:rsidRPr="00576CC4">
        <w:rPr>
          <w:rFonts w:asciiTheme="majorBidi" w:hAnsiTheme="majorBidi" w:cstheme="majorBidi"/>
          <w:bCs/>
          <w:sz w:val="22"/>
          <w:szCs w:val="22"/>
        </w:rPr>
        <w:t>calamitățile</w:t>
      </w:r>
      <w:r w:rsidRPr="00576CC4">
        <w:rPr>
          <w:rFonts w:asciiTheme="majorBidi" w:hAnsiTheme="majorBidi" w:cstheme="majorBidi"/>
          <w:bCs/>
          <w:sz w:val="22"/>
          <w:szCs w:val="22"/>
        </w:rPr>
        <w:t xml:space="preserve"> naturale (cutremure, </w:t>
      </w:r>
      <w:r w:rsidR="00BB7F06" w:rsidRPr="00576CC4">
        <w:rPr>
          <w:rFonts w:asciiTheme="majorBidi" w:hAnsiTheme="majorBidi" w:cstheme="majorBidi"/>
          <w:bCs/>
          <w:sz w:val="22"/>
          <w:szCs w:val="22"/>
        </w:rPr>
        <w:t>inundații</w:t>
      </w:r>
      <w:r w:rsidRPr="00576CC4">
        <w:rPr>
          <w:rFonts w:asciiTheme="majorBidi" w:hAnsiTheme="majorBidi" w:cstheme="majorBidi"/>
          <w:bCs/>
          <w:sz w:val="22"/>
          <w:szCs w:val="22"/>
        </w:rPr>
        <w:t xml:space="preserve">, alunecări de teren), război, </w:t>
      </w:r>
      <w:r w:rsidR="00BB7F06" w:rsidRPr="00576CC4">
        <w:rPr>
          <w:rFonts w:asciiTheme="majorBidi" w:hAnsiTheme="majorBidi" w:cstheme="majorBidi"/>
          <w:bCs/>
          <w:sz w:val="22"/>
          <w:szCs w:val="22"/>
        </w:rPr>
        <w:t>revoluție</w:t>
      </w:r>
      <w:r w:rsidRPr="00576CC4">
        <w:rPr>
          <w:rFonts w:asciiTheme="majorBidi" w:hAnsiTheme="majorBidi" w:cstheme="majorBidi"/>
          <w:bCs/>
          <w:sz w:val="22"/>
          <w:szCs w:val="22"/>
        </w:rPr>
        <w:t>, embargo, Beneficiarul inițiază, în termen de 30 de zile lucrătoare, un proiect de act adițional în vederea modificării/încetării contractului de finanțare.</w:t>
      </w:r>
    </w:p>
    <w:p w14:paraId="4226FE69" w14:textId="43417376" w:rsidR="00982F23" w:rsidRPr="00576CC4" w:rsidRDefault="00982F23">
      <w:pPr>
        <w:pStyle w:val="ListParagraph"/>
        <w:widowControl/>
        <w:numPr>
          <w:ilvl w:val="0"/>
          <w:numId w:val="25"/>
        </w:numPr>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576CC4" w:rsidRDefault="00982F23" w:rsidP="00FA2190">
      <w:pPr>
        <w:jc w:val="both"/>
        <w:rPr>
          <w:rFonts w:asciiTheme="majorBidi" w:hAnsiTheme="majorBidi" w:cstheme="majorBidi"/>
          <w:sz w:val="22"/>
          <w:szCs w:val="22"/>
        </w:rPr>
      </w:pPr>
    </w:p>
    <w:p w14:paraId="6F26A098" w14:textId="43CBAEEA"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w:t>
      </w:r>
      <w:r w:rsidR="00EF22B5" w:rsidRPr="00576CC4">
        <w:rPr>
          <w:rFonts w:asciiTheme="majorBidi" w:hAnsiTheme="majorBidi" w:cstheme="majorBidi"/>
          <w:sz w:val="22"/>
          <w:szCs w:val="22"/>
        </w:rPr>
        <w:t>2</w:t>
      </w:r>
      <w:r w:rsidR="00EF22B5">
        <w:rPr>
          <w:rFonts w:asciiTheme="majorBidi" w:hAnsiTheme="majorBidi" w:cstheme="majorBidi"/>
          <w:sz w:val="22"/>
          <w:szCs w:val="22"/>
        </w:rPr>
        <w:t>3</w:t>
      </w:r>
      <w:r w:rsidR="00EF22B5" w:rsidRPr="00576CC4">
        <w:rPr>
          <w:rFonts w:asciiTheme="majorBidi" w:hAnsiTheme="majorBidi" w:cstheme="majorBidi"/>
          <w:sz w:val="22"/>
          <w:szCs w:val="22"/>
        </w:rPr>
        <w:t xml:space="preserve"> </w:t>
      </w:r>
      <w:r w:rsidRPr="00576CC4">
        <w:rPr>
          <w:rFonts w:asciiTheme="majorBidi" w:hAnsiTheme="majorBidi" w:cstheme="majorBidi"/>
          <w:sz w:val="22"/>
          <w:szCs w:val="22"/>
        </w:rPr>
        <w:t>- Anexele Contractului</w:t>
      </w:r>
    </w:p>
    <w:p w14:paraId="37EBE6D3" w14:textId="77777777" w:rsidR="00982F23" w:rsidRPr="00576CC4" w:rsidRDefault="00982F23">
      <w:pPr>
        <w:numPr>
          <w:ilvl w:val="0"/>
          <w:numId w:val="7"/>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Anexele prezentului Contract sunt următoarele:</w:t>
      </w:r>
    </w:p>
    <w:p w14:paraId="2AA636A3" w14:textId="6A2516D1" w:rsidR="003A2B87" w:rsidRPr="00576CC4" w:rsidRDefault="006B5F46">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bookmarkStart w:id="3" w:name="_Hlk112417358"/>
      <w:r>
        <w:rPr>
          <w:rFonts w:asciiTheme="majorBidi" w:eastAsia="Arial Narrow" w:hAnsiTheme="majorBidi" w:cstheme="majorBidi"/>
          <w:sz w:val="22"/>
          <w:szCs w:val="22"/>
        </w:rPr>
        <w:t xml:space="preserve">Cererea de finanțare, </w:t>
      </w:r>
      <w:r w:rsidR="003A2B87" w:rsidRPr="00576CC4">
        <w:rPr>
          <w:rFonts w:asciiTheme="majorBidi" w:eastAsia="Arial Narrow" w:hAnsiTheme="majorBidi" w:cstheme="majorBidi"/>
          <w:sz w:val="22"/>
          <w:szCs w:val="22"/>
        </w:rPr>
        <w:t>(Anexa 1),</w:t>
      </w:r>
    </w:p>
    <w:p w14:paraId="033AC8DD" w14:textId="395A2F88"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Declarați</w:t>
      </w:r>
      <w:r w:rsidR="00273109" w:rsidRPr="00576CC4">
        <w:rPr>
          <w:rFonts w:asciiTheme="majorBidi" w:eastAsia="Arial Narrow" w:hAnsiTheme="majorBidi" w:cstheme="majorBidi"/>
          <w:sz w:val="22"/>
          <w:szCs w:val="22"/>
        </w:rPr>
        <w:t>i</w:t>
      </w:r>
      <w:r w:rsidRPr="00576CC4">
        <w:rPr>
          <w:rFonts w:asciiTheme="majorBidi" w:eastAsia="Arial Narrow" w:hAnsiTheme="majorBidi" w:cstheme="majorBidi"/>
          <w:sz w:val="22"/>
          <w:szCs w:val="22"/>
        </w:rPr>
        <w:t xml:space="preserve"> pe propria răspundere privind evitarea dublei finanțări (Anexa </w:t>
      </w:r>
      <w:r w:rsidR="00273109" w:rsidRPr="00576CC4">
        <w:rPr>
          <w:rFonts w:asciiTheme="majorBidi" w:eastAsia="Arial Narrow" w:hAnsiTheme="majorBidi" w:cstheme="majorBidi"/>
          <w:sz w:val="22"/>
          <w:szCs w:val="22"/>
        </w:rPr>
        <w:t>2</w:t>
      </w:r>
      <w:r w:rsidRPr="00576CC4">
        <w:rPr>
          <w:rFonts w:asciiTheme="majorBidi" w:eastAsia="Arial Narrow" w:hAnsiTheme="majorBidi" w:cstheme="majorBidi"/>
          <w:sz w:val="22"/>
          <w:szCs w:val="22"/>
        </w:rPr>
        <w:t>),</w:t>
      </w:r>
    </w:p>
    <w:p w14:paraId="01388B00" w14:textId="11A9215B"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de angajament pentru colectarea datelor privind beneficiarul real al fondurilor (Anexa </w:t>
      </w:r>
      <w:r w:rsidR="00273109" w:rsidRPr="00576CC4">
        <w:rPr>
          <w:rFonts w:asciiTheme="majorBidi" w:eastAsia="Arial Narrow" w:hAnsiTheme="majorBidi" w:cstheme="majorBidi"/>
          <w:sz w:val="22"/>
          <w:szCs w:val="22"/>
        </w:rPr>
        <w:t>3</w:t>
      </w:r>
      <w:r w:rsidRPr="00576CC4">
        <w:rPr>
          <w:rFonts w:asciiTheme="majorBidi" w:eastAsia="Arial Narrow" w:hAnsiTheme="majorBidi" w:cstheme="majorBidi"/>
          <w:sz w:val="22"/>
          <w:szCs w:val="22"/>
        </w:rPr>
        <w:t>),</w:t>
      </w:r>
    </w:p>
    <w:p w14:paraId="713921C4" w14:textId="384DAD0B"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de consimțământ privind prelucrarea datelor cu caracter personal (Anexa </w:t>
      </w:r>
      <w:r w:rsidR="00273109" w:rsidRPr="00576CC4">
        <w:rPr>
          <w:rFonts w:asciiTheme="majorBidi" w:eastAsia="Arial Narrow" w:hAnsiTheme="majorBidi" w:cstheme="majorBidi"/>
          <w:sz w:val="22"/>
          <w:szCs w:val="22"/>
        </w:rPr>
        <w:t>4</w:t>
      </w:r>
      <w:r w:rsidRPr="00576CC4">
        <w:rPr>
          <w:rFonts w:asciiTheme="majorBidi" w:eastAsia="Arial Narrow" w:hAnsiTheme="majorBidi" w:cstheme="majorBidi"/>
          <w:sz w:val="22"/>
          <w:szCs w:val="22"/>
        </w:rPr>
        <w:t>),</w:t>
      </w:r>
    </w:p>
    <w:p w14:paraId="37D157D4" w14:textId="3648E3B1"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privind conflictul de interese (Anexa </w:t>
      </w:r>
      <w:r w:rsidR="00273109" w:rsidRPr="00576CC4">
        <w:rPr>
          <w:rFonts w:asciiTheme="majorBidi" w:eastAsia="Arial Narrow" w:hAnsiTheme="majorBidi" w:cstheme="majorBidi"/>
          <w:sz w:val="22"/>
          <w:szCs w:val="22"/>
        </w:rPr>
        <w:t>5</w:t>
      </w:r>
      <w:r w:rsidRPr="00576CC4">
        <w:rPr>
          <w:rFonts w:asciiTheme="majorBidi" w:eastAsia="Arial Narrow" w:hAnsiTheme="majorBidi" w:cstheme="majorBidi"/>
          <w:sz w:val="22"/>
          <w:szCs w:val="22"/>
        </w:rPr>
        <w:t>),</w:t>
      </w:r>
    </w:p>
    <w:p w14:paraId="752341F2" w14:textId="1BA81ACE"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privind respectarea principiului DNSH (Anexa </w:t>
      </w:r>
      <w:r w:rsidR="00273109" w:rsidRPr="00576CC4">
        <w:rPr>
          <w:rFonts w:asciiTheme="majorBidi" w:eastAsia="Arial Narrow" w:hAnsiTheme="majorBidi" w:cstheme="majorBidi"/>
          <w:sz w:val="22"/>
          <w:szCs w:val="22"/>
        </w:rPr>
        <w:t>6</w:t>
      </w:r>
      <w:r w:rsidRPr="00576CC4">
        <w:rPr>
          <w:rFonts w:asciiTheme="majorBidi" w:eastAsia="Arial Narrow" w:hAnsiTheme="majorBidi" w:cstheme="majorBidi"/>
          <w:sz w:val="22"/>
          <w:szCs w:val="22"/>
        </w:rPr>
        <w:t>),</w:t>
      </w:r>
    </w:p>
    <w:p w14:paraId="64A5CA43" w14:textId="2CB2A11C"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privind TVA aferentă cheltuielilor proiectului (Anexa </w:t>
      </w:r>
      <w:r w:rsidR="00273109" w:rsidRPr="00576CC4">
        <w:rPr>
          <w:rFonts w:asciiTheme="majorBidi" w:eastAsia="Arial Narrow" w:hAnsiTheme="majorBidi" w:cstheme="majorBidi"/>
          <w:sz w:val="22"/>
          <w:szCs w:val="22"/>
        </w:rPr>
        <w:t>7</w:t>
      </w:r>
      <w:r w:rsidRPr="00576CC4">
        <w:rPr>
          <w:rFonts w:asciiTheme="majorBidi" w:eastAsia="Arial Narrow" w:hAnsiTheme="majorBidi" w:cstheme="majorBidi"/>
          <w:sz w:val="22"/>
          <w:szCs w:val="22"/>
        </w:rPr>
        <w:t>),</w:t>
      </w:r>
    </w:p>
    <w:p w14:paraId="474D552A" w14:textId="5817AE9B" w:rsidR="003A2B87" w:rsidRPr="00BD72FA" w:rsidRDefault="003A2B87">
      <w:pPr>
        <w:pStyle w:val="ListParagraph"/>
        <w:numPr>
          <w:ilvl w:val="0"/>
          <w:numId w:val="20"/>
        </w:numPr>
        <w:pBdr>
          <w:top w:val="nil"/>
          <w:left w:val="nil"/>
          <w:bottom w:val="nil"/>
          <w:right w:val="nil"/>
          <w:between w:val="nil"/>
        </w:pBdr>
        <w:tabs>
          <w:tab w:val="left" w:pos="2160"/>
        </w:tabs>
        <w:ind w:left="1080" w:hanging="540"/>
        <w:jc w:val="both"/>
        <w:rPr>
          <w:rFonts w:ascii="Times New Roman" w:hAnsi="Times New Roman" w:cs="Times New Roman"/>
          <w:sz w:val="22"/>
          <w:szCs w:val="22"/>
        </w:rPr>
      </w:pPr>
      <w:r w:rsidRPr="00576CC4">
        <w:rPr>
          <w:rFonts w:asciiTheme="majorBidi" w:eastAsia="Arial Narrow" w:hAnsiTheme="majorBidi" w:cstheme="majorBidi"/>
          <w:sz w:val="22"/>
          <w:szCs w:val="22"/>
        </w:rPr>
        <w:t xml:space="preserve">Mandat special împuternicire specială pentru semnarea anumitor documente din Cererea de </w:t>
      </w:r>
      <w:r w:rsidRPr="00BD72FA">
        <w:rPr>
          <w:rFonts w:ascii="Times New Roman" w:eastAsia="Arial Narrow" w:hAnsi="Times New Roman" w:cs="Times New Roman"/>
          <w:sz w:val="22"/>
          <w:szCs w:val="22"/>
        </w:rPr>
        <w:t xml:space="preserve">finanțare (dacă este cazul) - (Anexa </w:t>
      </w:r>
      <w:r w:rsidR="00273109" w:rsidRPr="00BD72FA">
        <w:rPr>
          <w:rFonts w:ascii="Times New Roman" w:eastAsia="Arial Narrow" w:hAnsi="Times New Roman" w:cs="Times New Roman"/>
          <w:sz w:val="22"/>
          <w:szCs w:val="22"/>
        </w:rPr>
        <w:t>8</w:t>
      </w:r>
      <w:r w:rsidRPr="00BD72FA">
        <w:rPr>
          <w:rFonts w:ascii="Times New Roman" w:eastAsia="Arial Narrow" w:hAnsi="Times New Roman" w:cs="Times New Roman"/>
          <w:sz w:val="22"/>
          <w:szCs w:val="22"/>
        </w:rPr>
        <w:t>),</w:t>
      </w:r>
    </w:p>
    <w:p w14:paraId="1F9242C5" w14:textId="36D9A4C5" w:rsidR="006B5F46" w:rsidRPr="00BD72FA" w:rsidRDefault="006B5F46">
      <w:pPr>
        <w:pStyle w:val="ListParagraph"/>
        <w:numPr>
          <w:ilvl w:val="0"/>
          <w:numId w:val="20"/>
        </w:numPr>
        <w:pBdr>
          <w:top w:val="nil"/>
          <w:left w:val="nil"/>
          <w:bottom w:val="nil"/>
          <w:right w:val="nil"/>
          <w:between w:val="nil"/>
        </w:pBdr>
        <w:tabs>
          <w:tab w:val="left" w:pos="2160"/>
        </w:tabs>
        <w:ind w:left="1080" w:hanging="540"/>
        <w:jc w:val="both"/>
        <w:rPr>
          <w:rFonts w:ascii="Times New Roman" w:hAnsi="Times New Roman" w:cs="Times New Roman"/>
          <w:sz w:val="22"/>
          <w:szCs w:val="22"/>
        </w:rPr>
      </w:pPr>
      <w:r w:rsidRPr="00BD72FA">
        <w:rPr>
          <w:rFonts w:ascii="Times New Roman" w:eastAsia="Arial Narrow" w:hAnsi="Times New Roman" w:cs="Times New Roman"/>
          <w:position w:val="-1"/>
          <w:sz w:val="22"/>
          <w:szCs w:val="22"/>
          <w:lang w:eastAsia="en-US"/>
        </w:rPr>
        <w:t>Notă conceptuală (model, conform HG907/2016);</w:t>
      </w:r>
      <w:r w:rsidR="009B0CC9" w:rsidRPr="00BD72FA">
        <w:rPr>
          <w:rFonts w:ascii="Times New Roman" w:eastAsia="Arial Narrow" w:hAnsi="Times New Roman" w:cs="Times New Roman"/>
          <w:position w:val="-1"/>
          <w:sz w:val="22"/>
          <w:szCs w:val="22"/>
          <w:lang w:eastAsia="en-US"/>
        </w:rPr>
        <w:t>(Anexa 10)</w:t>
      </w:r>
    </w:p>
    <w:p w14:paraId="53C035F1" w14:textId="23154C46" w:rsidR="009B0CC9" w:rsidRPr="00BD72FA" w:rsidRDefault="009B0CC9">
      <w:pPr>
        <w:pStyle w:val="ListParagraph"/>
        <w:numPr>
          <w:ilvl w:val="0"/>
          <w:numId w:val="20"/>
        </w:numPr>
        <w:pBdr>
          <w:top w:val="nil"/>
          <w:left w:val="nil"/>
          <w:bottom w:val="nil"/>
          <w:right w:val="nil"/>
          <w:between w:val="nil"/>
        </w:pBdr>
        <w:tabs>
          <w:tab w:val="left" w:pos="2160"/>
        </w:tabs>
        <w:ind w:left="1080" w:hanging="540"/>
        <w:jc w:val="both"/>
        <w:rPr>
          <w:rFonts w:ascii="Times New Roman" w:hAnsi="Times New Roman" w:cs="Times New Roman"/>
          <w:sz w:val="22"/>
          <w:szCs w:val="22"/>
        </w:rPr>
      </w:pPr>
      <w:r w:rsidRPr="00BD72FA">
        <w:rPr>
          <w:rFonts w:ascii="Times New Roman" w:eastAsia="Arial Narrow" w:hAnsi="Times New Roman" w:cs="Times New Roman"/>
          <w:position w:val="-1"/>
          <w:sz w:val="22"/>
          <w:szCs w:val="22"/>
          <w:lang w:eastAsia="en-US"/>
        </w:rPr>
        <w:t xml:space="preserve">Declarație privind utilizarea spațiului nou construit/reabilitat cu destinația unitate de învățământ - </w:t>
      </w:r>
      <w:r w:rsidRPr="00BD72FA">
        <w:rPr>
          <w:rFonts w:ascii="Times New Roman" w:eastAsia="Arial Narrow" w:hAnsi="Times New Roman" w:cs="Times New Roman"/>
          <w:i/>
          <w:position w:val="-1"/>
          <w:sz w:val="22"/>
          <w:szCs w:val="22"/>
          <w:lang w:eastAsia="en-US"/>
        </w:rPr>
        <w:t>școală verde.(Anexa 11)</w:t>
      </w:r>
    </w:p>
    <w:p w14:paraId="10E870D0" w14:textId="59C9C281" w:rsidR="009B0CC9" w:rsidRPr="00BD72FA" w:rsidRDefault="009B0CC9" w:rsidP="009B0CC9">
      <w:pPr>
        <w:pStyle w:val="ListParagraph"/>
        <w:numPr>
          <w:ilvl w:val="0"/>
          <w:numId w:val="20"/>
        </w:numPr>
        <w:pBdr>
          <w:top w:val="nil"/>
          <w:left w:val="nil"/>
          <w:bottom w:val="nil"/>
          <w:right w:val="nil"/>
          <w:between w:val="nil"/>
        </w:pBdr>
        <w:tabs>
          <w:tab w:val="left" w:pos="2160"/>
        </w:tabs>
        <w:ind w:left="1080" w:hanging="540"/>
        <w:jc w:val="both"/>
        <w:rPr>
          <w:rFonts w:ascii="Times New Roman" w:hAnsi="Times New Roman" w:cs="Times New Roman"/>
          <w:sz w:val="22"/>
          <w:szCs w:val="22"/>
        </w:rPr>
      </w:pPr>
      <w:r w:rsidRPr="00BD72FA">
        <w:rPr>
          <w:rFonts w:ascii="Times New Roman" w:hAnsi="Times New Roman" w:cs="Times New Roman"/>
          <w:sz w:val="22"/>
          <w:szCs w:val="22"/>
        </w:rPr>
        <w:lastRenderedPageBreak/>
        <w:t>Declarație de cofinanțare (Anexa 12)</w:t>
      </w:r>
    </w:p>
    <w:p w14:paraId="2319BF4E" w14:textId="56EEAB55" w:rsidR="006B5F46" w:rsidRPr="00BD72FA" w:rsidRDefault="006B5F46">
      <w:pPr>
        <w:pStyle w:val="ListParagraph"/>
        <w:numPr>
          <w:ilvl w:val="0"/>
          <w:numId w:val="20"/>
        </w:numPr>
        <w:pBdr>
          <w:top w:val="nil"/>
          <w:left w:val="nil"/>
          <w:bottom w:val="nil"/>
          <w:right w:val="nil"/>
          <w:between w:val="nil"/>
        </w:pBdr>
        <w:tabs>
          <w:tab w:val="left" w:pos="2160"/>
        </w:tabs>
        <w:ind w:left="1080" w:hanging="540"/>
        <w:jc w:val="both"/>
        <w:rPr>
          <w:rFonts w:ascii="Times New Roman" w:hAnsi="Times New Roman" w:cs="Times New Roman"/>
          <w:sz w:val="22"/>
          <w:szCs w:val="22"/>
        </w:rPr>
      </w:pPr>
      <w:r w:rsidRPr="00BD72FA">
        <w:rPr>
          <w:rFonts w:ascii="Times New Roman" w:eastAsia="Arial Narrow" w:hAnsi="Times New Roman" w:cs="Times New Roman"/>
          <w:position w:val="-1"/>
          <w:sz w:val="22"/>
          <w:szCs w:val="22"/>
          <w:lang w:eastAsia="en-US"/>
        </w:rPr>
        <w:t xml:space="preserve">Notă de fundamentare a necesității și oportunității investiției </w:t>
      </w:r>
      <w:sdt>
        <w:sdtPr>
          <w:rPr>
            <w:rFonts w:ascii="Times New Roman" w:eastAsia="Arial Narrow" w:hAnsi="Times New Roman" w:cs="Times New Roman"/>
            <w:position w:val="-1"/>
            <w:sz w:val="22"/>
            <w:szCs w:val="22"/>
            <w:lang w:eastAsia="en-US"/>
          </w:rPr>
          <w:tag w:val="goog_rdk_153"/>
          <w:id w:val="138702241"/>
        </w:sdtPr>
        <w:sdtEndPr/>
        <w:sdtContent>
          <w:r w:rsidRPr="00BD72FA">
            <w:rPr>
              <w:rFonts w:ascii="Times New Roman" w:eastAsia="Arial" w:hAnsi="Times New Roman" w:cs="Times New Roman"/>
              <w:i/>
              <w:position w:val="-1"/>
              <w:sz w:val="22"/>
              <w:szCs w:val="22"/>
              <w:lang w:eastAsia="en-US"/>
            </w:rPr>
            <w:t>școli verz.</w:t>
          </w:r>
          <w:r w:rsidR="009B0CC9" w:rsidRPr="00BD72FA">
            <w:rPr>
              <w:rFonts w:ascii="Times New Roman" w:eastAsia="Arial" w:hAnsi="Times New Roman" w:cs="Times New Roman"/>
              <w:i/>
              <w:position w:val="-1"/>
              <w:sz w:val="22"/>
              <w:szCs w:val="22"/>
              <w:lang w:eastAsia="en-US"/>
            </w:rPr>
            <w:t>(Anexa 9)</w:t>
          </w:r>
        </w:sdtContent>
      </w:sdt>
    </w:p>
    <w:bookmarkEnd w:id="3"/>
    <w:p w14:paraId="48123DEC" w14:textId="77777777" w:rsidR="003A2B87" w:rsidRPr="00BD72FA" w:rsidRDefault="003A2B87">
      <w:pPr>
        <w:pStyle w:val="ListParagraph"/>
        <w:numPr>
          <w:ilvl w:val="0"/>
          <w:numId w:val="20"/>
        </w:numPr>
        <w:pBdr>
          <w:top w:val="nil"/>
          <w:left w:val="nil"/>
          <w:bottom w:val="nil"/>
          <w:right w:val="nil"/>
          <w:between w:val="nil"/>
        </w:pBdr>
        <w:tabs>
          <w:tab w:val="left" w:pos="2160"/>
        </w:tabs>
        <w:ind w:left="1080" w:hanging="540"/>
        <w:jc w:val="both"/>
        <w:rPr>
          <w:rFonts w:ascii="Times New Roman" w:hAnsi="Times New Roman" w:cs="Times New Roman"/>
          <w:sz w:val="22"/>
          <w:szCs w:val="22"/>
        </w:rPr>
      </w:pPr>
      <w:r w:rsidRPr="00BD72FA">
        <w:rPr>
          <w:rFonts w:ascii="Times New Roman" w:hAnsi="Times New Roman" w:cs="Times New Roman"/>
          <w:sz w:val="22"/>
          <w:szCs w:val="22"/>
        </w:rPr>
        <w:t>Documentele statutare ale Solicitantului,</w:t>
      </w:r>
    </w:p>
    <w:p w14:paraId="7EDE64C4" w14:textId="77777777"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Times New Roman" w:hAnsiTheme="majorBidi" w:cstheme="majorBidi"/>
          <w:sz w:val="22"/>
          <w:szCs w:val="22"/>
          <w:shd w:val="clear" w:color="auto" w:fill="FFFFFF" w:themeFill="background1"/>
        </w:rPr>
        <w:t xml:space="preserve">Documente privind identificarea reprezentanților legali ai Solicitantului, inclusiv copie a </w:t>
      </w:r>
      <w:r w:rsidRPr="00576CC4">
        <w:rPr>
          <w:rFonts w:asciiTheme="majorBidi" w:hAnsiTheme="majorBidi" w:cstheme="majorBidi"/>
          <w:sz w:val="22"/>
          <w:szCs w:val="22"/>
        </w:rPr>
        <w:t>documentului de identificare pentru reprezentantul legal al Solicitantului,</w:t>
      </w:r>
    </w:p>
    <w:p w14:paraId="45316B75" w14:textId="044168DC" w:rsidR="00697D64" w:rsidRDefault="003A2B87" w:rsidP="00697D64">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Times New Roman" w:hAnsiTheme="majorBidi" w:cstheme="majorBidi"/>
          <w:sz w:val="22"/>
          <w:szCs w:val="22"/>
        </w:rPr>
        <w:t>Hotărârile/deciziile/ordinele de aprobare a Proiectului și a cheltuielilor aferente Proiectului, conform solicitărilor din Ghid</w:t>
      </w:r>
      <w:r w:rsidRPr="00576CC4">
        <w:rPr>
          <w:rFonts w:asciiTheme="majorBidi" w:hAnsiTheme="majorBidi" w:cstheme="majorBidi"/>
          <w:sz w:val="22"/>
          <w:szCs w:val="22"/>
        </w:rPr>
        <w:t>,</w:t>
      </w:r>
    </w:p>
    <w:p w14:paraId="5C608155" w14:textId="050F1D65" w:rsidR="00EF22B5" w:rsidRPr="00EF22B5" w:rsidRDefault="00EF22B5" w:rsidP="00697D64">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EF22B5">
        <w:rPr>
          <w:rFonts w:asciiTheme="majorBidi" w:hAnsiTheme="majorBidi" w:cstheme="majorBidi"/>
          <w:bCs/>
          <w:sz w:val="22"/>
          <w:szCs w:val="22"/>
        </w:rPr>
        <w:t>Declarație privind asigurarea pistei de audit</w:t>
      </w:r>
    </w:p>
    <w:p w14:paraId="2FE74F95" w14:textId="258E6FCD" w:rsidR="00EF22B5" w:rsidRPr="00EF22B5" w:rsidRDefault="00EF22B5" w:rsidP="00697D64">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EF22B5">
        <w:rPr>
          <w:rFonts w:asciiTheme="majorBidi" w:hAnsiTheme="majorBidi" w:cstheme="majorBidi"/>
          <w:bCs/>
          <w:sz w:val="22"/>
          <w:szCs w:val="22"/>
        </w:rPr>
        <w:t>Declarație privind asigurarea organizării contabilității</w:t>
      </w:r>
    </w:p>
    <w:p w14:paraId="6463CB76" w14:textId="605D4C2E" w:rsidR="00EF22B5" w:rsidRPr="00EF22B5" w:rsidRDefault="00EF22B5" w:rsidP="00697D64">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EF22B5">
        <w:rPr>
          <w:rFonts w:asciiTheme="majorBidi" w:hAnsiTheme="majorBidi" w:cstheme="majorBidi"/>
          <w:bCs/>
          <w:sz w:val="22"/>
          <w:szCs w:val="22"/>
        </w:rPr>
        <w:t>Declarație privind evitarea conflictului de interese, a neregulilor și fraudei</w:t>
      </w:r>
    </w:p>
    <w:p w14:paraId="764061AB" w14:textId="59E502F4" w:rsidR="00EF22B5" w:rsidRPr="00EF22B5" w:rsidRDefault="00EF22B5" w:rsidP="00EF22B5">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EF22B5">
        <w:rPr>
          <w:rFonts w:asciiTheme="majorBidi" w:hAnsiTheme="majorBidi" w:cstheme="majorBidi"/>
          <w:bCs/>
          <w:sz w:val="22"/>
          <w:szCs w:val="22"/>
        </w:rPr>
        <w:t>Declarație privind utilizarea investiției finanțate</w:t>
      </w:r>
    </w:p>
    <w:p w14:paraId="18ECFD73" w14:textId="3B27CAA5" w:rsidR="00EF22B5" w:rsidRPr="00EF22B5" w:rsidRDefault="00EF22B5" w:rsidP="00EF22B5">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EF22B5">
        <w:rPr>
          <w:rFonts w:asciiTheme="majorBidi" w:hAnsiTheme="majorBidi" w:cstheme="majorBidi"/>
          <w:bCs/>
          <w:sz w:val="22"/>
          <w:szCs w:val="22"/>
        </w:rPr>
        <w:t>Declarație privind respectarea prevederilor legale în derularea achizițiilor publice</w:t>
      </w:r>
    </w:p>
    <w:p w14:paraId="6D0C79DE" w14:textId="72725D33" w:rsidR="00EF22B5" w:rsidRPr="007D3317" w:rsidRDefault="00697D64" w:rsidP="00B1061C">
      <w:pPr>
        <w:pBdr>
          <w:top w:val="nil"/>
          <w:left w:val="nil"/>
          <w:bottom w:val="nil"/>
          <w:right w:val="nil"/>
          <w:between w:val="nil"/>
        </w:pBdr>
        <w:shd w:val="clear" w:color="auto" w:fill="D9D9D9" w:themeFill="background1" w:themeFillShade="D9"/>
        <w:tabs>
          <w:tab w:val="left" w:pos="2160"/>
          <w:tab w:val="right" w:pos="9810"/>
        </w:tabs>
        <w:ind w:left="540"/>
        <w:jc w:val="both"/>
        <w:rPr>
          <w:rFonts w:asciiTheme="majorBidi" w:hAnsiTheme="majorBidi" w:cstheme="majorBidi"/>
          <w:sz w:val="22"/>
          <w:szCs w:val="22"/>
        </w:rPr>
      </w:pPr>
      <w:r w:rsidRPr="00B1061C">
        <w:rPr>
          <w:rFonts w:asciiTheme="majorBidi" w:hAnsiTheme="majorBidi" w:cstheme="majorBidi"/>
        </w:rPr>
        <w:t>xi¹.</w:t>
      </w:r>
      <w:bookmarkStart w:id="4" w:name="_Hlk127123488"/>
      <w:r w:rsidRPr="00B1061C">
        <w:rPr>
          <w:rFonts w:asciiTheme="majorBidi" w:hAnsiTheme="majorBidi" w:cstheme="majorBidi"/>
        </w:rPr>
        <w:t xml:space="preserve"> Repartizarea bugetului pe </w:t>
      </w:r>
      <w:bookmarkEnd w:id="4"/>
      <w:r w:rsidR="00BD72FA" w:rsidRPr="00B1061C">
        <w:rPr>
          <w:rFonts w:asciiTheme="majorBidi" w:hAnsiTheme="majorBidi" w:cstheme="majorBidi"/>
        </w:rPr>
        <w:t>subcomponente.</w:t>
      </w:r>
    </w:p>
    <w:p w14:paraId="3671639B" w14:textId="3BE0B6EF"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Orice alte documente justificative relevante.</w:t>
      </w:r>
    </w:p>
    <w:p w14:paraId="6E8D84C5" w14:textId="1A4887E4" w:rsidR="00982F23" w:rsidRPr="00576CC4" w:rsidRDefault="00982F23">
      <w:pPr>
        <w:widowControl/>
        <w:numPr>
          <w:ilvl w:val="0"/>
          <w:numId w:val="7"/>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În cazul unui conflict între prevederile Anexelor contractului de finanțare și cele din Contractul de finanțare, prevederile Contractului de finanțare prevalează.</w:t>
      </w:r>
    </w:p>
    <w:p w14:paraId="0C0276DE" w14:textId="77777777" w:rsidR="00982F23" w:rsidRPr="00576CC4" w:rsidRDefault="00982F23" w:rsidP="00FA2190">
      <w:pPr>
        <w:widowControl/>
        <w:autoSpaceDE w:val="0"/>
        <w:autoSpaceDN w:val="0"/>
        <w:adjustRightInd w:val="0"/>
        <w:spacing w:line="276" w:lineRule="auto"/>
        <w:contextualSpacing/>
        <w:jc w:val="both"/>
        <w:rPr>
          <w:rFonts w:asciiTheme="majorBidi" w:hAnsiTheme="majorBidi" w:cstheme="majorBidi"/>
          <w:bCs/>
          <w:sz w:val="22"/>
          <w:szCs w:val="22"/>
        </w:rPr>
      </w:pPr>
    </w:p>
    <w:p w14:paraId="3B767323" w14:textId="0A3C01A2" w:rsidR="00982F23" w:rsidRPr="00576CC4" w:rsidRDefault="00982F23" w:rsidP="00A27AA3">
      <w:pPr>
        <w:tabs>
          <w:tab w:val="left" w:pos="7371"/>
        </w:tabs>
        <w:spacing w:line="276" w:lineRule="auto"/>
        <w:ind w:left="113"/>
        <w:jc w:val="both"/>
        <w:rPr>
          <w:rFonts w:asciiTheme="majorBidi" w:hAnsiTheme="majorBidi" w:cstheme="majorBidi"/>
          <w:bCs/>
          <w:sz w:val="22"/>
          <w:szCs w:val="22"/>
        </w:rPr>
      </w:pPr>
      <w:r w:rsidRPr="00576CC4">
        <w:rPr>
          <w:rFonts w:asciiTheme="majorBidi" w:hAnsiTheme="majorBidi" w:cstheme="majorBidi"/>
          <w:bCs/>
          <w:sz w:val="22"/>
          <w:szCs w:val="22"/>
        </w:rPr>
        <w:t>Semnătura:                                                                           Semnătura:</w:t>
      </w:r>
    </w:p>
    <w:p w14:paraId="072D0F9D" w14:textId="4BFC64FC" w:rsidR="00576CC4" w:rsidRPr="00B679D8" w:rsidRDefault="00982F23" w:rsidP="00EF22B5">
      <w:pPr>
        <w:tabs>
          <w:tab w:val="left" w:pos="7371"/>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 xml:space="preserve">Data                                                                                       </w:t>
      </w:r>
      <w:r w:rsidR="00BD2207"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Dat</w:t>
      </w:r>
      <w:r w:rsidR="002D725B">
        <w:rPr>
          <w:rFonts w:asciiTheme="majorBidi" w:hAnsiTheme="majorBidi" w:cstheme="majorBidi"/>
          <w:bCs/>
          <w:sz w:val="22"/>
          <w:szCs w:val="22"/>
        </w:rPr>
        <w:t>ă</w:t>
      </w:r>
    </w:p>
    <w:sectPr w:rsidR="00576CC4" w:rsidRPr="00B679D8" w:rsidSect="00982F23">
      <w:headerReference w:type="default" r:id="rId8"/>
      <w:footerReference w:type="default" r:id="rId9"/>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9EFD" w14:textId="77777777" w:rsidR="008416C4" w:rsidRDefault="008416C4" w:rsidP="005A2AD9">
      <w:r>
        <w:separator/>
      </w:r>
    </w:p>
  </w:endnote>
  <w:endnote w:type="continuationSeparator" w:id="0">
    <w:p w14:paraId="0393D46D" w14:textId="77777777" w:rsidR="008416C4" w:rsidRDefault="008416C4"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90997"/>
      <w:docPartObj>
        <w:docPartGallery w:val="Page Numbers (Bottom of Page)"/>
        <w:docPartUnique/>
      </w:docPartObj>
    </w:sdtPr>
    <w:sdtEndPr/>
    <w:sdtContent>
      <w:sdt>
        <w:sdtPr>
          <w:id w:val="-356271745"/>
          <w:docPartObj>
            <w:docPartGallery w:val="Page Numbers (Top of Page)"/>
            <w:docPartUnique/>
          </w:docPartObj>
        </w:sdtPr>
        <w:sdtEndPr/>
        <w:sdtContent>
          <w:p w14:paraId="16080BAA" w14:textId="0031D8C4" w:rsidR="00D5747E" w:rsidRDefault="00D5747E" w:rsidP="00F80B16">
            <w:pPr>
              <w:pStyle w:val="Footer"/>
              <w:jc w:val="center"/>
            </w:pPr>
            <w:r w:rsidRPr="00F80B16">
              <w:rPr>
                <w:sz w:val="20"/>
                <w:szCs w:val="20"/>
              </w:rPr>
              <w:t xml:space="preserve">Pagina </w:t>
            </w:r>
            <w:r w:rsidRPr="00F80B16">
              <w:rPr>
                <w:b/>
                <w:bCs/>
                <w:sz w:val="20"/>
                <w:szCs w:val="20"/>
              </w:rPr>
              <w:fldChar w:fldCharType="begin"/>
            </w:r>
            <w:r w:rsidRPr="00F80B16">
              <w:rPr>
                <w:b/>
                <w:bCs/>
                <w:sz w:val="20"/>
                <w:szCs w:val="20"/>
              </w:rPr>
              <w:instrText xml:space="preserve"> PAGE </w:instrText>
            </w:r>
            <w:r w:rsidRPr="00F80B16">
              <w:rPr>
                <w:b/>
                <w:bCs/>
                <w:sz w:val="20"/>
                <w:szCs w:val="20"/>
              </w:rPr>
              <w:fldChar w:fldCharType="separate"/>
            </w:r>
            <w:r w:rsidR="00C373FD">
              <w:rPr>
                <w:b/>
                <w:bCs/>
                <w:noProof/>
                <w:sz w:val="20"/>
                <w:szCs w:val="20"/>
              </w:rPr>
              <w:t>15</w:t>
            </w:r>
            <w:r w:rsidRPr="00F80B16">
              <w:rPr>
                <w:b/>
                <w:bCs/>
                <w:sz w:val="20"/>
                <w:szCs w:val="20"/>
              </w:rPr>
              <w:fldChar w:fldCharType="end"/>
            </w:r>
            <w:r>
              <w:t xml:space="preserve"> </w:t>
            </w:r>
          </w:p>
        </w:sdtContent>
      </w:sdt>
    </w:sdtContent>
  </w:sdt>
  <w:p w14:paraId="4DB43812" w14:textId="77777777" w:rsidR="00D5747E" w:rsidRDefault="00D574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2CD7" w14:textId="77777777" w:rsidR="008416C4" w:rsidRDefault="008416C4" w:rsidP="005A2AD9">
      <w:r>
        <w:separator/>
      </w:r>
    </w:p>
  </w:footnote>
  <w:footnote w:type="continuationSeparator" w:id="0">
    <w:p w14:paraId="377FAD4F" w14:textId="77777777" w:rsidR="008416C4" w:rsidRDefault="008416C4"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1878"/>
        </w:tabs>
        <w:ind w:left="1170" w:firstLine="0"/>
      </w:pPr>
      <w:rPr>
        <w:rFonts w:ascii="Trebuchet MS" w:hAnsi="Trebuchet MS" w:cs="Trebuchet MS"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644" w:hanging="360"/>
      </w:pPr>
      <w:rPr>
        <w:rFonts w:hint="default"/>
        <w:b w:val="0"/>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8"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1"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5"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C242E"/>
    <w:multiLevelType w:val="hybridMultilevel"/>
    <w:tmpl w:val="349A4754"/>
    <w:lvl w:ilvl="0" w:tplc="06F68D82">
      <w:start w:val="4"/>
      <w:numFmt w:val="decimal"/>
      <w:lvlText w:val="%1)"/>
      <w:lvlJc w:val="left"/>
      <w:pPr>
        <w:ind w:left="720" w:hanging="360"/>
      </w:pPr>
      <w:rPr>
        <w:rFonts w:cs="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5"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6" w15:restartNumberingAfterBreak="1">
    <w:nsid w:val="77BB0F5D"/>
    <w:multiLevelType w:val="multilevel"/>
    <w:tmpl w:val="4AFE8644"/>
    <w:lvl w:ilvl="0">
      <w:start w:val="1"/>
      <w:numFmt w:val="lowerRoman"/>
      <w:lvlText w:val="%1."/>
      <w:lvlJc w:val="left"/>
      <w:pPr>
        <w:ind w:left="900"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9"/>
  </w:num>
  <w:num w:numId="3">
    <w:abstractNumId w:val="20"/>
  </w:num>
  <w:num w:numId="4">
    <w:abstractNumId w:val="23"/>
  </w:num>
  <w:num w:numId="5">
    <w:abstractNumId w:val="13"/>
  </w:num>
  <w:num w:numId="6">
    <w:abstractNumId w:val="4"/>
  </w:num>
  <w:num w:numId="7">
    <w:abstractNumId w:val="11"/>
  </w:num>
  <w:num w:numId="8">
    <w:abstractNumId w:val="14"/>
  </w:num>
  <w:num w:numId="9">
    <w:abstractNumId w:val="21"/>
  </w:num>
  <w:num w:numId="10">
    <w:abstractNumId w:val="19"/>
  </w:num>
  <w:num w:numId="11">
    <w:abstractNumId w:val="7"/>
  </w:num>
  <w:num w:numId="12">
    <w:abstractNumId w:val="2"/>
  </w:num>
  <w:num w:numId="13">
    <w:abstractNumId w:val="10"/>
  </w:num>
  <w:num w:numId="14">
    <w:abstractNumId w:val="5"/>
  </w:num>
  <w:num w:numId="15">
    <w:abstractNumId w:val="6"/>
  </w:num>
  <w:num w:numId="16">
    <w:abstractNumId w:val="25"/>
  </w:num>
  <w:num w:numId="17">
    <w:abstractNumId w:val="24"/>
  </w:num>
  <w:num w:numId="18">
    <w:abstractNumId w:val="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15"/>
  </w:num>
  <w:num w:numId="23">
    <w:abstractNumId w:val="16"/>
  </w:num>
  <w:num w:numId="24">
    <w:abstractNumId w:val="18"/>
  </w:num>
  <w:num w:numId="25">
    <w:abstractNumId w:val="12"/>
  </w:num>
  <w:num w:numId="26">
    <w:abstractNumId w:val="0"/>
  </w:num>
  <w:num w:numId="27">
    <w:abstractNumId w:val="1"/>
  </w:num>
  <w:num w:numId="2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B7"/>
    <w:rsid w:val="00050760"/>
    <w:rsid w:val="00050F90"/>
    <w:rsid w:val="0005444F"/>
    <w:rsid w:val="00054A49"/>
    <w:rsid w:val="00056B7B"/>
    <w:rsid w:val="000640DC"/>
    <w:rsid w:val="00085083"/>
    <w:rsid w:val="0009478D"/>
    <w:rsid w:val="000D09F6"/>
    <w:rsid w:val="001648F8"/>
    <w:rsid w:val="00185416"/>
    <w:rsid w:val="001B09B4"/>
    <w:rsid w:val="001B2296"/>
    <w:rsid w:val="001C1B4A"/>
    <w:rsid w:val="001D3856"/>
    <w:rsid w:val="001E1695"/>
    <w:rsid w:val="001F1A33"/>
    <w:rsid w:val="00252A2D"/>
    <w:rsid w:val="002576BA"/>
    <w:rsid w:val="002700DA"/>
    <w:rsid w:val="00273109"/>
    <w:rsid w:val="002B269B"/>
    <w:rsid w:val="002B2F2A"/>
    <w:rsid w:val="002B745D"/>
    <w:rsid w:val="002B7DF1"/>
    <w:rsid w:val="002D3096"/>
    <w:rsid w:val="002D725B"/>
    <w:rsid w:val="002E182B"/>
    <w:rsid w:val="002F3974"/>
    <w:rsid w:val="00307076"/>
    <w:rsid w:val="00307795"/>
    <w:rsid w:val="00341878"/>
    <w:rsid w:val="00363BBC"/>
    <w:rsid w:val="00370D7A"/>
    <w:rsid w:val="003739D6"/>
    <w:rsid w:val="00383144"/>
    <w:rsid w:val="00383D50"/>
    <w:rsid w:val="003A2B87"/>
    <w:rsid w:val="003A40C0"/>
    <w:rsid w:val="003C7266"/>
    <w:rsid w:val="003D09F7"/>
    <w:rsid w:val="003E0A07"/>
    <w:rsid w:val="003E2C8E"/>
    <w:rsid w:val="0040143C"/>
    <w:rsid w:val="004162F8"/>
    <w:rsid w:val="004534B1"/>
    <w:rsid w:val="004950EF"/>
    <w:rsid w:val="004A3E57"/>
    <w:rsid w:val="004D01FC"/>
    <w:rsid w:val="004D2DCB"/>
    <w:rsid w:val="004E19E2"/>
    <w:rsid w:val="00506375"/>
    <w:rsid w:val="0051180C"/>
    <w:rsid w:val="00576CC4"/>
    <w:rsid w:val="00582421"/>
    <w:rsid w:val="00584A14"/>
    <w:rsid w:val="005A0B63"/>
    <w:rsid w:val="005A2AD9"/>
    <w:rsid w:val="005A4620"/>
    <w:rsid w:val="005B5C89"/>
    <w:rsid w:val="005C3DB4"/>
    <w:rsid w:val="005E4BE1"/>
    <w:rsid w:val="005F0D5B"/>
    <w:rsid w:val="00622F65"/>
    <w:rsid w:val="006474A6"/>
    <w:rsid w:val="00670DE1"/>
    <w:rsid w:val="00680421"/>
    <w:rsid w:val="0069659D"/>
    <w:rsid w:val="00697D64"/>
    <w:rsid w:val="006A44D6"/>
    <w:rsid w:val="006A7D09"/>
    <w:rsid w:val="006B5F46"/>
    <w:rsid w:val="006C2B09"/>
    <w:rsid w:val="00703A5C"/>
    <w:rsid w:val="007262AA"/>
    <w:rsid w:val="007326EA"/>
    <w:rsid w:val="00741457"/>
    <w:rsid w:val="00760B59"/>
    <w:rsid w:val="007873C9"/>
    <w:rsid w:val="00796F55"/>
    <w:rsid w:val="007A36F5"/>
    <w:rsid w:val="007D3317"/>
    <w:rsid w:val="008416C4"/>
    <w:rsid w:val="0086654D"/>
    <w:rsid w:val="00890244"/>
    <w:rsid w:val="00893CBB"/>
    <w:rsid w:val="008A589C"/>
    <w:rsid w:val="008B4A73"/>
    <w:rsid w:val="008B4FCC"/>
    <w:rsid w:val="008D56ED"/>
    <w:rsid w:val="008E19EE"/>
    <w:rsid w:val="008F38FA"/>
    <w:rsid w:val="008F3FDD"/>
    <w:rsid w:val="008F5B86"/>
    <w:rsid w:val="00902859"/>
    <w:rsid w:val="00924B3C"/>
    <w:rsid w:val="00940DBE"/>
    <w:rsid w:val="00945C8A"/>
    <w:rsid w:val="0094631A"/>
    <w:rsid w:val="00966F0E"/>
    <w:rsid w:val="00982F23"/>
    <w:rsid w:val="00990F4C"/>
    <w:rsid w:val="00992A9A"/>
    <w:rsid w:val="0099722A"/>
    <w:rsid w:val="009A20CA"/>
    <w:rsid w:val="009A7BBF"/>
    <w:rsid w:val="009B0CC9"/>
    <w:rsid w:val="009B2B05"/>
    <w:rsid w:val="009B501B"/>
    <w:rsid w:val="009C1A94"/>
    <w:rsid w:val="00A02248"/>
    <w:rsid w:val="00A27AA3"/>
    <w:rsid w:val="00A53470"/>
    <w:rsid w:val="00A82CC1"/>
    <w:rsid w:val="00AA6EB7"/>
    <w:rsid w:val="00AB7543"/>
    <w:rsid w:val="00AD5316"/>
    <w:rsid w:val="00B02303"/>
    <w:rsid w:val="00B1061C"/>
    <w:rsid w:val="00B17FC3"/>
    <w:rsid w:val="00B37AB3"/>
    <w:rsid w:val="00B45F53"/>
    <w:rsid w:val="00B465F2"/>
    <w:rsid w:val="00B52CB4"/>
    <w:rsid w:val="00B679D8"/>
    <w:rsid w:val="00B800E9"/>
    <w:rsid w:val="00B816BB"/>
    <w:rsid w:val="00B877A5"/>
    <w:rsid w:val="00B94A0F"/>
    <w:rsid w:val="00BB7F06"/>
    <w:rsid w:val="00BC35E6"/>
    <w:rsid w:val="00BD2207"/>
    <w:rsid w:val="00BD72FA"/>
    <w:rsid w:val="00C05A74"/>
    <w:rsid w:val="00C06BAA"/>
    <w:rsid w:val="00C36DB2"/>
    <w:rsid w:val="00C373FD"/>
    <w:rsid w:val="00C4284E"/>
    <w:rsid w:val="00C531FB"/>
    <w:rsid w:val="00C55FA8"/>
    <w:rsid w:val="00C921BE"/>
    <w:rsid w:val="00CB2210"/>
    <w:rsid w:val="00CB4859"/>
    <w:rsid w:val="00CE1E5C"/>
    <w:rsid w:val="00CE2053"/>
    <w:rsid w:val="00D21840"/>
    <w:rsid w:val="00D32A1A"/>
    <w:rsid w:val="00D5747E"/>
    <w:rsid w:val="00D73826"/>
    <w:rsid w:val="00D772E4"/>
    <w:rsid w:val="00DA7B69"/>
    <w:rsid w:val="00DE7C59"/>
    <w:rsid w:val="00E01A0E"/>
    <w:rsid w:val="00E84317"/>
    <w:rsid w:val="00E964B2"/>
    <w:rsid w:val="00EA4365"/>
    <w:rsid w:val="00EB244B"/>
    <w:rsid w:val="00EC18EA"/>
    <w:rsid w:val="00EF22B5"/>
    <w:rsid w:val="00F27604"/>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 w:type="paragraph" w:customStyle="1" w:styleId="P68B1DB1-ListParagraph13">
    <w:name w:val="P68B1DB1-ListParagraph13"/>
    <w:basedOn w:val="ListParagraph"/>
    <w:rsid w:val="00DA7B69"/>
    <w:pPr>
      <w:widowControl/>
      <w:suppressAutoHyphens/>
      <w:spacing w:after="160" w:line="252" w:lineRule="auto"/>
    </w:pPr>
    <w:rPr>
      <w:rFonts w:ascii="Times New Roman" w:eastAsia="Calibri" w:hAnsi="Times New Roman" w:cs="Times New Roman"/>
      <w:szCs w:val="20"/>
      <w:lang w:val="en-US" w:eastAsia="zh-CN"/>
    </w:rPr>
  </w:style>
  <w:style w:type="paragraph" w:customStyle="1" w:styleId="P68B1DB1-ListParagraph14">
    <w:name w:val="P68B1DB1-ListParagraph14"/>
    <w:basedOn w:val="ListParagraph"/>
    <w:rsid w:val="00DA7B69"/>
    <w:pPr>
      <w:widowControl/>
      <w:suppressAutoHyphens/>
      <w:spacing w:after="160" w:line="252" w:lineRule="auto"/>
    </w:pPr>
    <w:rPr>
      <w:rFonts w:ascii="Times New Roman" w:eastAsia="Times New Roman" w:hAnsi="Times New Roman" w:cs="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AC4D-93D5-4C7C-8639-37C0AF16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Sorin Ciolan</cp:lastModifiedBy>
  <cp:revision>5</cp:revision>
  <cp:lastPrinted>2022-08-12T12:56:00Z</cp:lastPrinted>
  <dcterms:created xsi:type="dcterms:W3CDTF">2023-05-04T11:19:00Z</dcterms:created>
  <dcterms:modified xsi:type="dcterms:W3CDTF">2023-05-04T13:11:00Z</dcterms:modified>
</cp:coreProperties>
</file>